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13EB53C" w:rsidR="00333FAA" w:rsidRPr="00811EEA" w:rsidRDefault="004045B5" w:rsidP="00A53B04">
            <w:pPr>
              <w:rPr>
                <w:rFonts w:cs="Arial"/>
                <w:szCs w:val="24"/>
              </w:rPr>
            </w:pPr>
            <w:r>
              <w:rPr>
                <w:spacing w:val="-3"/>
                <w:position w:val="5"/>
              </w:rPr>
              <w:t>19</w:t>
            </w:r>
            <w:r w:rsidR="00DA18DF">
              <w:rPr>
                <w:spacing w:val="-3"/>
                <w:position w:val="5"/>
              </w:rPr>
              <w:t xml:space="preserve"> Dece</w:t>
            </w:r>
            <w:r w:rsidR="00A856DE">
              <w:rPr>
                <w:spacing w:val="-3"/>
                <w:position w:val="5"/>
              </w:rPr>
              <w:t>mber</w:t>
            </w:r>
            <w:r w:rsidR="00A14068" w:rsidRPr="00811EEA">
              <w:rPr>
                <w:spacing w:val="-3"/>
                <w:position w:val="5"/>
                <w:szCs w:val="24"/>
              </w:rPr>
              <w:t xml:space="preserve"> </w:t>
            </w:r>
            <w:r w:rsidR="00A14068" w:rsidRPr="00811EEA">
              <w:rPr>
                <w:position w:val="5"/>
                <w:szCs w:val="24"/>
              </w:rPr>
              <w:t>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37AFC89A" w:rsidR="00333FAA" w:rsidRPr="005E3A10" w:rsidRDefault="00087849" w:rsidP="00A53B04">
            <w:pPr>
              <w:rPr>
                <w:rFonts w:cs="Arial"/>
                <w:szCs w:val="24"/>
              </w:rPr>
            </w:pPr>
            <w:r>
              <w:t>Procurement</w:t>
            </w:r>
            <w:r>
              <w:rPr>
                <w:spacing w:val="-5"/>
              </w:rPr>
              <w:t xml:space="preserve"> </w:t>
            </w:r>
            <w:r w:rsidR="005072E7">
              <w:rPr>
                <w:spacing w:val="-5"/>
              </w:rPr>
              <w:t xml:space="preserve">Action for Silk Stream </w:t>
            </w:r>
            <w:r w:rsidR="008A4EB0">
              <w:rPr>
                <w:spacing w:val="-5"/>
              </w:rPr>
              <w:t xml:space="preserve">&amp; GLA </w:t>
            </w:r>
            <w:r w:rsidR="005F72EC">
              <w:t xml:space="preserve">Chandos Recreation Ground </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E9612F1" w14:textId="5C78AB90" w:rsidR="00333FAA" w:rsidRDefault="00703D7D" w:rsidP="00246F0D">
            <w:pPr>
              <w:tabs>
                <w:tab w:val="left" w:pos="3696"/>
              </w:tabs>
              <w:spacing w:line="339" w:lineRule="exact"/>
            </w:pPr>
            <w:r>
              <w:t>No</w:t>
            </w:r>
          </w:p>
          <w:p w14:paraId="3EADF2B3" w14:textId="4748CABA" w:rsidR="00246F0D" w:rsidRPr="00246F0D" w:rsidRDefault="00246F0D" w:rsidP="00246F0D">
            <w:pPr>
              <w:tabs>
                <w:tab w:val="left" w:pos="3696"/>
              </w:tabs>
              <w:spacing w:line="339" w:lineRule="exact"/>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D68F0CA" w14:textId="57D4D05A" w:rsidR="00B81C66" w:rsidRDefault="00B81C66" w:rsidP="00D835CF">
            <w:pPr>
              <w:pStyle w:val="Infotext"/>
              <w:rPr>
                <w:position w:val="-8"/>
                <w:sz w:val="24"/>
                <w:szCs w:val="24"/>
              </w:rPr>
            </w:pPr>
            <w:r>
              <w:rPr>
                <w:position w:val="-8"/>
                <w:sz w:val="24"/>
                <w:szCs w:val="24"/>
              </w:rPr>
              <w:t>Dipti Patel</w:t>
            </w:r>
            <w:r w:rsidR="00A07D3C">
              <w:rPr>
                <w:position w:val="-8"/>
                <w:sz w:val="24"/>
                <w:szCs w:val="24"/>
              </w:rPr>
              <w:t>,</w:t>
            </w:r>
            <w:r>
              <w:rPr>
                <w:position w:val="-8"/>
                <w:sz w:val="24"/>
                <w:szCs w:val="24"/>
              </w:rPr>
              <w:t xml:space="preserve"> Corporate Director Place </w:t>
            </w:r>
          </w:p>
          <w:p w14:paraId="1510D418" w14:textId="7813BB5F" w:rsidR="00940DB9" w:rsidRDefault="00940DB9" w:rsidP="00D835CF">
            <w:pPr>
              <w:pStyle w:val="Infotext"/>
              <w:rPr>
                <w:position w:val="-8"/>
                <w:sz w:val="24"/>
                <w:szCs w:val="24"/>
              </w:rPr>
            </w:pPr>
            <w:r>
              <w:rPr>
                <w:position w:val="-8"/>
                <w:sz w:val="24"/>
                <w:szCs w:val="24"/>
              </w:rPr>
              <w:t>Cathy Knubley</w:t>
            </w:r>
            <w:r w:rsidR="00A07D3C">
              <w:rPr>
                <w:position w:val="-8"/>
                <w:sz w:val="24"/>
                <w:szCs w:val="24"/>
              </w:rPr>
              <w:t>,</w:t>
            </w:r>
            <w:r>
              <w:rPr>
                <w:position w:val="-8"/>
                <w:sz w:val="24"/>
                <w:szCs w:val="24"/>
              </w:rPr>
              <w:t xml:space="preserve"> Director </w:t>
            </w:r>
            <w:r w:rsidR="00A07D3C">
              <w:rPr>
                <w:position w:val="-8"/>
                <w:sz w:val="24"/>
                <w:szCs w:val="24"/>
              </w:rPr>
              <w:t xml:space="preserve">of </w:t>
            </w:r>
            <w:r>
              <w:rPr>
                <w:position w:val="-8"/>
                <w:sz w:val="24"/>
                <w:szCs w:val="24"/>
              </w:rPr>
              <w:t xml:space="preserve">Environment </w:t>
            </w:r>
          </w:p>
          <w:p w14:paraId="3798BF23" w14:textId="6F72D83F"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6353C2F" w14:textId="28081576" w:rsidR="006B459A" w:rsidRDefault="006B459A" w:rsidP="006B459A">
            <w:pPr>
              <w:tabs>
                <w:tab w:val="left" w:pos="3696"/>
              </w:tabs>
              <w:spacing w:line="339" w:lineRule="exact"/>
            </w:pPr>
            <w:r>
              <w:t xml:space="preserve">Councillor Anjana Patel - Portfolio Holder </w:t>
            </w:r>
            <w:r w:rsidR="00CD7012">
              <w:t>Highways</w:t>
            </w:r>
            <w:r w:rsidR="00A07D3C">
              <w:t>,</w:t>
            </w:r>
            <w:r w:rsidR="00CD7012">
              <w:t xml:space="preserve"> </w:t>
            </w:r>
            <w:r w:rsidR="00B64BBF">
              <w:t>Infrastructure</w:t>
            </w:r>
            <w:r>
              <w:t xml:space="preserve"> &amp; Community Safety </w:t>
            </w:r>
          </w:p>
          <w:p w14:paraId="43529424" w14:textId="77777777" w:rsidR="006B459A" w:rsidRDefault="006B459A" w:rsidP="006B459A">
            <w:pPr>
              <w:tabs>
                <w:tab w:val="left" w:pos="3696"/>
              </w:tabs>
              <w:spacing w:line="339" w:lineRule="exact"/>
            </w:pPr>
          </w:p>
          <w:p w14:paraId="7C0006F5" w14:textId="77777777" w:rsidR="001C7E35" w:rsidRDefault="006B459A" w:rsidP="00D835CF">
            <w:pPr>
              <w:pStyle w:val="Infotext"/>
              <w:rPr>
                <w:spacing w:val="-3"/>
                <w:sz w:val="24"/>
                <w:szCs w:val="24"/>
              </w:rPr>
            </w:pPr>
            <w:r w:rsidRPr="00690908">
              <w:rPr>
                <w:sz w:val="24"/>
                <w:szCs w:val="24"/>
              </w:rPr>
              <w:t>Councillor David Ashton - Portfolio Holder for Finance and Human Resources</w:t>
            </w:r>
            <w:r w:rsidRPr="00690908">
              <w:rPr>
                <w:spacing w:val="-3"/>
                <w:sz w:val="24"/>
                <w:szCs w:val="24"/>
              </w:rPr>
              <w:t xml:space="preserve"> </w:t>
            </w:r>
          </w:p>
          <w:p w14:paraId="39A9A01A" w14:textId="636D87CF" w:rsidR="00690908" w:rsidRPr="00690908" w:rsidRDefault="00690908"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47D5EFD3" w14:textId="34E888CC" w:rsidR="001C7E35" w:rsidRPr="00E70305" w:rsidRDefault="008026F0" w:rsidP="00D835CF">
            <w:pPr>
              <w:pStyle w:val="Infotext"/>
              <w:rPr>
                <w:sz w:val="24"/>
                <w:szCs w:val="24"/>
              </w:rPr>
            </w:pPr>
            <w:r w:rsidRPr="00E70305">
              <w:rPr>
                <w:sz w:val="24"/>
                <w:szCs w:val="24"/>
              </w:rPr>
              <w:t xml:space="preserve">No, except for appendices </w:t>
            </w:r>
            <w:r w:rsidR="00A07D3C">
              <w:rPr>
                <w:sz w:val="24"/>
                <w:szCs w:val="24"/>
              </w:rPr>
              <w:t>A, B, C and D</w:t>
            </w:r>
            <w:r w:rsidRPr="00A819AC">
              <w:rPr>
                <w:sz w:val="24"/>
                <w:szCs w:val="24"/>
              </w:rPr>
              <w:t xml:space="preserve"> which are exempt by virtue of Paragraph 3 of Schedule 12A of the Local Government Act 1972 because they contain information relating to the financial &amp; business affairs of the </w:t>
            </w:r>
            <w:r w:rsidR="00003A32" w:rsidRPr="00A819AC">
              <w:rPr>
                <w:sz w:val="24"/>
                <w:szCs w:val="24"/>
              </w:rPr>
              <w:t>council.</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64917C1B" w14:textId="77777777" w:rsidR="00717B4C" w:rsidRDefault="00717B4C" w:rsidP="00616FD0">
            <w:pPr>
              <w:pStyle w:val="Infotext"/>
              <w:rPr>
                <w:rFonts w:cs="Arial"/>
                <w:sz w:val="24"/>
                <w:szCs w:val="24"/>
              </w:rPr>
            </w:pPr>
          </w:p>
          <w:p w14:paraId="3A75E271" w14:textId="3DBBB166" w:rsidR="00714BEE" w:rsidRPr="005E3A10" w:rsidRDefault="001C7E35" w:rsidP="00616FD0">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6C1C0FF2" w14:textId="7BA5394E" w:rsidR="00307F76" w:rsidRDefault="00FD2566" w:rsidP="00D835CF">
            <w:pPr>
              <w:rPr>
                <w:rFonts w:cs="Arial"/>
                <w:szCs w:val="24"/>
              </w:rPr>
            </w:pPr>
            <w:r>
              <w:rPr>
                <w:rFonts w:cs="Arial"/>
                <w:szCs w:val="24"/>
              </w:rPr>
              <w:t>All</w:t>
            </w:r>
          </w:p>
          <w:p w14:paraId="52E38AE7" w14:textId="1CD9D70F" w:rsidR="00BE45C3" w:rsidRPr="00307F76" w:rsidRDefault="00BE45C3"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10B6A59" w14:textId="6AE2C7FB" w:rsidR="001C7E35" w:rsidRDefault="008026F0" w:rsidP="00DB6C3D">
            <w:pPr>
              <w:pStyle w:val="Infotext"/>
              <w:rPr>
                <w:rFonts w:cs="Arial"/>
                <w:sz w:val="24"/>
                <w:szCs w:val="24"/>
              </w:rPr>
            </w:pPr>
            <w:r>
              <w:rPr>
                <w:rFonts w:cs="Arial"/>
                <w:sz w:val="24"/>
                <w:szCs w:val="24"/>
              </w:rPr>
              <w:t xml:space="preserve">Appendix </w:t>
            </w:r>
            <w:r w:rsidR="00AE5469">
              <w:rPr>
                <w:rFonts w:cs="Arial"/>
                <w:sz w:val="24"/>
                <w:szCs w:val="24"/>
              </w:rPr>
              <w:t xml:space="preserve">A. AfSS </w:t>
            </w:r>
            <w:r w:rsidR="009E124E">
              <w:rPr>
                <w:rFonts w:cs="Arial"/>
                <w:sz w:val="24"/>
                <w:szCs w:val="24"/>
              </w:rPr>
              <w:t>EA Outline Business Case</w:t>
            </w:r>
            <w:r>
              <w:rPr>
                <w:rFonts w:cs="Arial"/>
                <w:sz w:val="24"/>
                <w:szCs w:val="24"/>
              </w:rPr>
              <w:t xml:space="preserve"> </w:t>
            </w:r>
          </w:p>
          <w:p w14:paraId="5751E4DA" w14:textId="77777777" w:rsidR="00717B4C" w:rsidRDefault="00717B4C" w:rsidP="00DB6C3D">
            <w:pPr>
              <w:pStyle w:val="Infotext"/>
              <w:rPr>
                <w:sz w:val="24"/>
                <w:szCs w:val="24"/>
              </w:rPr>
            </w:pPr>
          </w:p>
          <w:p w14:paraId="33A52D3C" w14:textId="3C5300C9" w:rsidR="008026F0" w:rsidRDefault="008026F0" w:rsidP="00DB6C3D">
            <w:pPr>
              <w:pStyle w:val="Infotext"/>
              <w:rPr>
                <w:sz w:val="24"/>
                <w:szCs w:val="24"/>
              </w:rPr>
            </w:pPr>
            <w:r w:rsidRPr="009E124E">
              <w:rPr>
                <w:sz w:val="24"/>
                <w:szCs w:val="24"/>
              </w:rPr>
              <w:t xml:space="preserve">Appendix </w:t>
            </w:r>
            <w:r w:rsidR="009E124E">
              <w:rPr>
                <w:sz w:val="24"/>
                <w:szCs w:val="24"/>
              </w:rPr>
              <w:t xml:space="preserve">B. AfSS </w:t>
            </w:r>
            <w:r w:rsidR="00A50831">
              <w:rPr>
                <w:sz w:val="24"/>
                <w:szCs w:val="24"/>
              </w:rPr>
              <w:t>Community &amp; Business Engagement Strategy</w:t>
            </w:r>
          </w:p>
          <w:p w14:paraId="5E9EECCD" w14:textId="77777777" w:rsidR="00717B4C" w:rsidRDefault="00717B4C" w:rsidP="00DB6C3D">
            <w:pPr>
              <w:pStyle w:val="Infotext"/>
              <w:rPr>
                <w:sz w:val="24"/>
                <w:szCs w:val="24"/>
              </w:rPr>
            </w:pPr>
          </w:p>
          <w:p w14:paraId="720A3297" w14:textId="7BC5641F" w:rsidR="009E124E" w:rsidRDefault="009E124E" w:rsidP="00DB6C3D">
            <w:pPr>
              <w:pStyle w:val="Infotext"/>
              <w:rPr>
                <w:sz w:val="24"/>
                <w:szCs w:val="24"/>
              </w:rPr>
            </w:pPr>
            <w:r>
              <w:rPr>
                <w:sz w:val="24"/>
                <w:szCs w:val="24"/>
              </w:rPr>
              <w:t xml:space="preserve">Appendix C. </w:t>
            </w:r>
            <w:r w:rsidR="00932AEF">
              <w:rPr>
                <w:sz w:val="24"/>
                <w:szCs w:val="24"/>
              </w:rPr>
              <w:t>Program</w:t>
            </w:r>
          </w:p>
          <w:p w14:paraId="25261E87" w14:textId="77777777" w:rsidR="00717B4C" w:rsidRDefault="00717B4C" w:rsidP="00DB6C3D">
            <w:pPr>
              <w:pStyle w:val="Infotext"/>
              <w:rPr>
                <w:sz w:val="24"/>
                <w:szCs w:val="24"/>
              </w:rPr>
            </w:pPr>
          </w:p>
          <w:p w14:paraId="1328F6FD" w14:textId="11EF51E9" w:rsidR="003A04DA" w:rsidRPr="009E124E" w:rsidRDefault="003A04DA" w:rsidP="00DB6C3D">
            <w:pPr>
              <w:pStyle w:val="Infotext"/>
              <w:rPr>
                <w:sz w:val="24"/>
                <w:szCs w:val="24"/>
              </w:rPr>
            </w:pPr>
            <w:r>
              <w:rPr>
                <w:sz w:val="24"/>
                <w:szCs w:val="24"/>
              </w:rPr>
              <w:t xml:space="preserve">Appendix D. </w:t>
            </w:r>
            <w:r w:rsidR="00932AEF">
              <w:rPr>
                <w:sz w:val="24"/>
                <w:szCs w:val="24"/>
              </w:rPr>
              <w:t>Defra &amp; GLA Funded Area Plan</w:t>
            </w:r>
          </w:p>
          <w:p w14:paraId="6668D730" w14:textId="3402F934" w:rsidR="004B66CA" w:rsidRPr="005E3A10" w:rsidRDefault="004B66CA"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EE2A7C">
        <w:trPr>
          <w:trHeight w:val="10642"/>
          <w:tblHeader/>
        </w:trPr>
        <w:tc>
          <w:tcPr>
            <w:tcW w:w="8525" w:type="dxa"/>
          </w:tcPr>
          <w:p w14:paraId="7386F83D" w14:textId="77777777" w:rsidR="0069096D" w:rsidRDefault="0069096D" w:rsidP="00EB687A">
            <w:pPr>
              <w:pStyle w:val="BodyText"/>
              <w:ind w:left="103" w:right="132"/>
              <w:rPr>
                <w:i w:val="0"/>
                <w:iCs w:val="0"/>
              </w:rPr>
            </w:pPr>
          </w:p>
          <w:p w14:paraId="17E2556B" w14:textId="27B31D13" w:rsidR="00EB687A" w:rsidRPr="00EB687A" w:rsidRDefault="00EB687A" w:rsidP="00EB687A">
            <w:pPr>
              <w:pStyle w:val="BodyText"/>
              <w:ind w:left="103" w:right="132"/>
              <w:rPr>
                <w:i w:val="0"/>
                <w:iCs w:val="0"/>
              </w:rPr>
            </w:pPr>
            <w:r w:rsidRPr="00EB687A">
              <w:rPr>
                <w:i w:val="0"/>
                <w:iCs w:val="0"/>
              </w:rPr>
              <w:t>This</w:t>
            </w:r>
            <w:r w:rsidRPr="00EB687A">
              <w:rPr>
                <w:i w:val="0"/>
                <w:iCs w:val="0"/>
                <w:spacing w:val="-2"/>
              </w:rPr>
              <w:t xml:space="preserve"> </w:t>
            </w:r>
            <w:r w:rsidRPr="00EB687A">
              <w:rPr>
                <w:i w:val="0"/>
                <w:iCs w:val="0"/>
              </w:rPr>
              <w:t>report</w:t>
            </w:r>
            <w:r w:rsidRPr="00EB687A">
              <w:rPr>
                <w:i w:val="0"/>
                <w:iCs w:val="0"/>
                <w:spacing w:val="-2"/>
              </w:rPr>
              <w:t xml:space="preserve"> </w:t>
            </w:r>
            <w:r w:rsidR="008B4C37">
              <w:rPr>
                <w:i w:val="0"/>
                <w:iCs w:val="0"/>
                <w:spacing w:val="-2"/>
              </w:rPr>
              <w:t xml:space="preserve">requests authority from </w:t>
            </w:r>
            <w:r w:rsidRPr="00EB687A">
              <w:rPr>
                <w:i w:val="0"/>
                <w:iCs w:val="0"/>
              </w:rPr>
              <w:t>Cabinet</w:t>
            </w:r>
            <w:r w:rsidRPr="00EB687A">
              <w:rPr>
                <w:i w:val="0"/>
                <w:iCs w:val="0"/>
                <w:spacing w:val="-4"/>
              </w:rPr>
              <w:t xml:space="preserve"> </w:t>
            </w:r>
            <w:r w:rsidRPr="00EB687A">
              <w:rPr>
                <w:i w:val="0"/>
                <w:iCs w:val="0"/>
              </w:rPr>
              <w:t>to</w:t>
            </w:r>
            <w:r w:rsidR="008B4C37">
              <w:rPr>
                <w:i w:val="0"/>
                <w:iCs w:val="0"/>
              </w:rPr>
              <w:t xml:space="preserve"> commence</w:t>
            </w:r>
            <w:r w:rsidRPr="00EB687A">
              <w:rPr>
                <w:i w:val="0"/>
                <w:iCs w:val="0"/>
                <w:spacing w:val="-3"/>
              </w:rPr>
              <w:t xml:space="preserve"> </w:t>
            </w:r>
            <w:r w:rsidRPr="00EB687A">
              <w:rPr>
                <w:i w:val="0"/>
                <w:iCs w:val="0"/>
              </w:rPr>
              <w:t>a</w:t>
            </w:r>
            <w:r w:rsidRPr="00EB687A">
              <w:rPr>
                <w:i w:val="0"/>
                <w:iCs w:val="0"/>
                <w:spacing w:val="-2"/>
              </w:rPr>
              <w:t xml:space="preserve"> </w:t>
            </w:r>
            <w:r w:rsidRPr="00EB687A">
              <w:rPr>
                <w:i w:val="0"/>
                <w:iCs w:val="0"/>
              </w:rPr>
              <w:t>procurement</w:t>
            </w:r>
            <w:r w:rsidRPr="00EB687A">
              <w:rPr>
                <w:i w:val="0"/>
                <w:iCs w:val="0"/>
                <w:spacing w:val="-3"/>
              </w:rPr>
              <w:t xml:space="preserve"> </w:t>
            </w:r>
            <w:r w:rsidRPr="00EB687A">
              <w:rPr>
                <w:i w:val="0"/>
                <w:iCs w:val="0"/>
              </w:rPr>
              <w:t>exercise</w:t>
            </w:r>
            <w:r w:rsidRPr="00EB687A">
              <w:rPr>
                <w:i w:val="0"/>
                <w:iCs w:val="0"/>
                <w:spacing w:val="-2"/>
              </w:rPr>
              <w:t xml:space="preserve"> </w:t>
            </w:r>
            <w:r w:rsidR="003C0E63">
              <w:rPr>
                <w:i w:val="0"/>
                <w:iCs w:val="0"/>
              </w:rPr>
              <w:t>for the construction</w:t>
            </w:r>
            <w:r w:rsidR="00003A32">
              <w:rPr>
                <w:i w:val="0"/>
                <w:iCs w:val="0"/>
              </w:rPr>
              <w:t xml:space="preserve"> phase</w:t>
            </w:r>
            <w:r w:rsidR="003C0E63">
              <w:rPr>
                <w:i w:val="0"/>
                <w:iCs w:val="0"/>
              </w:rPr>
              <w:t xml:space="preserve"> of </w:t>
            </w:r>
            <w:r w:rsidR="00FE7D73">
              <w:rPr>
                <w:i w:val="0"/>
                <w:iCs w:val="0"/>
              </w:rPr>
              <w:t xml:space="preserve">the Action for Silk Stream (AfSS) </w:t>
            </w:r>
            <w:r w:rsidR="003C0E63">
              <w:rPr>
                <w:i w:val="0"/>
                <w:iCs w:val="0"/>
              </w:rPr>
              <w:t xml:space="preserve">Chandos Recreation Ground </w:t>
            </w:r>
            <w:r w:rsidR="00CE4D1A">
              <w:rPr>
                <w:i w:val="0"/>
                <w:iCs w:val="0"/>
              </w:rPr>
              <w:t>major park</w:t>
            </w:r>
            <w:r w:rsidR="00257527">
              <w:rPr>
                <w:i w:val="0"/>
                <w:iCs w:val="0"/>
              </w:rPr>
              <w:t xml:space="preserve"> and </w:t>
            </w:r>
            <w:r w:rsidR="00A81357">
              <w:rPr>
                <w:i w:val="0"/>
                <w:iCs w:val="0"/>
              </w:rPr>
              <w:t>infrastructure</w:t>
            </w:r>
            <w:r w:rsidR="003C0E63">
              <w:rPr>
                <w:i w:val="0"/>
                <w:iCs w:val="0"/>
              </w:rPr>
              <w:t xml:space="preserve"> </w:t>
            </w:r>
            <w:r w:rsidR="00003A32">
              <w:rPr>
                <w:i w:val="0"/>
                <w:iCs w:val="0"/>
              </w:rPr>
              <w:t>improvements.</w:t>
            </w:r>
            <w:r w:rsidR="003C0E63">
              <w:rPr>
                <w:i w:val="0"/>
                <w:iCs w:val="0"/>
              </w:rPr>
              <w:t xml:space="preserve"> </w:t>
            </w:r>
          </w:p>
          <w:p w14:paraId="60F3A4FD" w14:textId="77777777" w:rsidR="00EB687A" w:rsidRPr="00EB687A" w:rsidRDefault="00EB687A" w:rsidP="00EB687A">
            <w:pPr>
              <w:pStyle w:val="BodyText"/>
              <w:spacing w:before="1"/>
              <w:rPr>
                <w:i w:val="0"/>
                <w:iCs w:val="0"/>
              </w:rPr>
            </w:pPr>
          </w:p>
          <w:p w14:paraId="7E0D63CF" w14:textId="5F6C49B2" w:rsidR="00EB687A" w:rsidRDefault="00EB687A" w:rsidP="00EB687A">
            <w:pPr>
              <w:spacing w:line="321" w:lineRule="exact"/>
              <w:ind w:left="103"/>
              <w:rPr>
                <w:b/>
                <w:sz w:val="28"/>
              </w:rPr>
            </w:pPr>
            <w:r w:rsidRPr="00EB687A">
              <w:rPr>
                <w:b/>
                <w:sz w:val="28"/>
              </w:rPr>
              <w:t>Recommendations:</w:t>
            </w:r>
          </w:p>
          <w:p w14:paraId="58541B76" w14:textId="77777777" w:rsidR="007E6BB2" w:rsidRPr="00EB687A" w:rsidRDefault="007E6BB2" w:rsidP="00EB687A">
            <w:pPr>
              <w:spacing w:line="321" w:lineRule="exact"/>
              <w:ind w:left="103"/>
              <w:rPr>
                <w:b/>
                <w:sz w:val="28"/>
              </w:rPr>
            </w:pPr>
          </w:p>
          <w:p w14:paraId="62BAFD99" w14:textId="417AED09" w:rsidR="00EB687A" w:rsidRDefault="00EB687A" w:rsidP="00EB687A">
            <w:pPr>
              <w:pStyle w:val="BodyText"/>
              <w:spacing w:line="275" w:lineRule="exact"/>
              <w:ind w:left="103"/>
              <w:rPr>
                <w:i w:val="0"/>
                <w:iCs w:val="0"/>
              </w:rPr>
            </w:pPr>
            <w:r w:rsidRPr="00EB687A">
              <w:rPr>
                <w:i w:val="0"/>
                <w:iCs w:val="0"/>
              </w:rPr>
              <w:t>Cabinet</w:t>
            </w:r>
            <w:r w:rsidRPr="00EB687A">
              <w:rPr>
                <w:i w:val="0"/>
                <w:iCs w:val="0"/>
                <w:spacing w:val="-3"/>
              </w:rPr>
              <w:t xml:space="preserve"> </w:t>
            </w:r>
            <w:r w:rsidRPr="00EB687A">
              <w:rPr>
                <w:i w:val="0"/>
                <w:iCs w:val="0"/>
              </w:rPr>
              <w:t>is</w:t>
            </w:r>
            <w:r w:rsidRPr="00EB687A">
              <w:rPr>
                <w:i w:val="0"/>
                <w:iCs w:val="0"/>
                <w:spacing w:val="-1"/>
              </w:rPr>
              <w:t xml:space="preserve"> </w:t>
            </w:r>
            <w:r w:rsidRPr="00EB687A">
              <w:rPr>
                <w:i w:val="0"/>
                <w:iCs w:val="0"/>
              </w:rPr>
              <w:t>requested</w:t>
            </w:r>
            <w:r w:rsidRPr="00EB687A">
              <w:rPr>
                <w:i w:val="0"/>
                <w:iCs w:val="0"/>
                <w:spacing w:val="-1"/>
              </w:rPr>
              <w:t xml:space="preserve"> </w:t>
            </w:r>
            <w:r w:rsidRPr="00EB687A">
              <w:rPr>
                <w:i w:val="0"/>
                <w:iCs w:val="0"/>
              </w:rPr>
              <w:t>to:</w:t>
            </w:r>
          </w:p>
          <w:p w14:paraId="372C252A" w14:textId="77777777" w:rsidR="007E6BB2" w:rsidRPr="00EB687A" w:rsidRDefault="007E6BB2" w:rsidP="00EB687A">
            <w:pPr>
              <w:pStyle w:val="BodyText"/>
              <w:spacing w:line="275" w:lineRule="exact"/>
              <w:ind w:left="103"/>
              <w:rPr>
                <w:i w:val="0"/>
                <w:iCs w:val="0"/>
              </w:rPr>
            </w:pPr>
          </w:p>
          <w:p w14:paraId="35C920A7" w14:textId="14A67BC8" w:rsidR="00CE4D1A" w:rsidRPr="00EB687A" w:rsidRDefault="00EB687A" w:rsidP="00A07D3C">
            <w:pPr>
              <w:pStyle w:val="BodyText"/>
              <w:numPr>
                <w:ilvl w:val="0"/>
                <w:numId w:val="52"/>
              </w:numPr>
              <w:ind w:right="132"/>
              <w:rPr>
                <w:i w:val="0"/>
                <w:iCs w:val="0"/>
              </w:rPr>
            </w:pPr>
            <w:r w:rsidRPr="00EB687A">
              <w:rPr>
                <w:i w:val="0"/>
                <w:iCs w:val="0"/>
              </w:rPr>
              <w:t xml:space="preserve">Grant approval to </w:t>
            </w:r>
            <w:r w:rsidR="000918A0">
              <w:rPr>
                <w:i w:val="0"/>
                <w:iCs w:val="0"/>
              </w:rPr>
              <w:t>commence</w:t>
            </w:r>
            <w:r w:rsidR="00DF748D">
              <w:rPr>
                <w:i w:val="0"/>
                <w:iCs w:val="0"/>
              </w:rPr>
              <w:t xml:space="preserve"> a procurement exercise</w:t>
            </w:r>
            <w:r w:rsidR="007476CD">
              <w:rPr>
                <w:i w:val="0"/>
                <w:iCs w:val="0"/>
              </w:rPr>
              <w:t xml:space="preserve">, subject to consultation with </w:t>
            </w:r>
            <w:r w:rsidR="007476CD" w:rsidRPr="007476CD">
              <w:rPr>
                <w:i w:val="0"/>
                <w:iCs w:val="0"/>
              </w:rPr>
              <w:t xml:space="preserve">the Portfolio </w:t>
            </w:r>
            <w:r w:rsidR="007476CD" w:rsidRPr="00A07D3C">
              <w:rPr>
                <w:i w:val="0"/>
                <w:iCs w:val="0"/>
              </w:rPr>
              <w:t xml:space="preserve">Holders for </w:t>
            </w:r>
            <w:r w:rsidR="00A07D3C" w:rsidRPr="00A07D3C">
              <w:rPr>
                <w:i w:val="0"/>
                <w:iCs w:val="0"/>
              </w:rPr>
              <w:t>Highways, Infrastructure &amp; Community Safety</w:t>
            </w:r>
            <w:r w:rsidR="007476CD" w:rsidRPr="007476CD">
              <w:rPr>
                <w:i w:val="0"/>
                <w:iCs w:val="0"/>
              </w:rPr>
              <w:t xml:space="preserve"> and</w:t>
            </w:r>
            <w:r w:rsidR="00A07D3C">
              <w:rPr>
                <w:i w:val="0"/>
                <w:iCs w:val="0"/>
              </w:rPr>
              <w:t xml:space="preserve"> the Portfolio Holder for</w:t>
            </w:r>
            <w:r w:rsidR="007476CD" w:rsidRPr="007476CD">
              <w:rPr>
                <w:i w:val="0"/>
                <w:iCs w:val="0"/>
              </w:rPr>
              <w:t xml:space="preserve"> Finance and Human Resources</w:t>
            </w:r>
            <w:r w:rsidR="007476CD">
              <w:rPr>
                <w:i w:val="0"/>
                <w:iCs w:val="0"/>
              </w:rPr>
              <w:t>,</w:t>
            </w:r>
            <w:r w:rsidR="00DF748D">
              <w:rPr>
                <w:i w:val="0"/>
                <w:iCs w:val="0"/>
              </w:rPr>
              <w:t xml:space="preserve"> for the selection of a provider to deliver </w:t>
            </w:r>
            <w:r w:rsidRPr="00EB687A">
              <w:rPr>
                <w:i w:val="0"/>
                <w:iCs w:val="0"/>
              </w:rPr>
              <w:t>the</w:t>
            </w:r>
            <w:r w:rsidR="00CE4D1A">
              <w:rPr>
                <w:i w:val="0"/>
                <w:iCs w:val="0"/>
              </w:rPr>
              <w:t xml:space="preserve"> Chandos Recreation Ground major park </w:t>
            </w:r>
            <w:r w:rsidR="002A40E0">
              <w:rPr>
                <w:i w:val="0"/>
                <w:iCs w:val="0"/>
              </w:rPr>
              <w:t>improvements.</w:t>
            </w:r>
            <w:r w:rsidR="00CE4D1A">
              <w:rPr>
                <w:i w:val="0"/>
                <w:iCs w:val="0"/>
              </w:rPr>
              <w:t xml:space="preserve"> </w:t>
            </w:r>
          </w:p>
          <w:p w14:paraId="3AD3B6A7" w14:textId="77777777" w:rsidR="00633437" w:rsidRDefault="00633437" w:rsidP="00690908">
            <w:pPr>
              <w:pStyle w:val="BodyText"/>
              <w:ind w:right="844"/>
              <w:rPr>
                <w:i w:val="0"/>
                <w:iCs w:val="0"/>
              </w:rPr>
            </w:pPr>
          </w:p>
          <w:p w14:paraId="4C8A4ED1" w14:textId="63CC8D3B" w:rsidR="00032258" w:rsidRDefault="00CB6AB7" w:rsidP="00CB6AB7">
            <w:pPr>
              <w:pStyle w:val="ListParagraph"/>
              <w:numPr>
                <w:ilvl w:val="0"/>
                <w:numId w:val="52"/>
              </w:numPr>
              <w:rPr>
                <w:rFonts w:cs="Arial"/>
              </w:rPr>
            </w:pPr>
            <w:r w:rsidRPr="00CB6AB7">
              <w:rPr>
                <w:rFonts w:cs="Arial"/>
              </w:rPr>
              <w:t xml:space="preserve">Delegate authority to the Corporate Director for Place, following consultation with the Portfolio Holders for </w:t>
            </w:r>
            <w:r w:rsidR="00B64BBF">
              <w:t>Highways</w:t>
            </w:r>
            <w:r w:rsidR="00545781">
              <w:t>,</w:t>
            </w:r>
            <w:r w:rsidR="00B64BBF">
              <w:t xml:space="preserve"> Infrastructure</w:t>
            </w:r>
            <w:r w:rsidRPr="00CB6AB7">
              <w:rPr>
                <w:rFonts w:cs="Arial"/>
              </w:rPr>
              <w:t xml:space="preserve"> and Community Safety and Finance and Human Resources </w:t>
            </w:r>
            <w:r w:rsidR="003C495C">
              <w:rPr>
                <w:rFonts w:cs="Arial"/>
              </w:rPr>
              <w:t xml:space="preserve">to </w:t>
            </w:r>
            <w:r w:rsidRPr="00CB6AB7">
              <w:rPr>
                <w:rFonts w:cs="Arial"/>
              </w:rPr>
              <w:t>commence</w:t>
            </w:r>
            <w:r w:rsidR="003C495C">
              <w:rPr>
                <w:rFonts w:cs="Arial"/>
              </w:rPr>
              <w:t xml:space="preserve"> a </w:t>
            </w:r>
            <w:r w:rsidR="00B37405">
              <w:rPr>
                <w:rFonts w:cs="Arial"/>
              </w:rPr>
              <w:t xml:space="preserve">joint </w:t>
            </w:r>
            <w:r w:rsidRPr="00CB6AB7">
              <w:rPr>
                <w:rFonts w:cs="Arial"/>
              </w:rPr>
              <w:t>procurement of a provider for</w:t>
            </w:r>
            <w:r>
              <w:rPr>
                <w:rFonts w:cs="Arial"/>
              </w:rPr>
              <w:t xml:space="preserve"> </w:t>
            </w:r>
            <w:r w:rsidRPr="00CB6AB7">
              <w:rPr>
                <w:rFonts w:cs="Arial"/>
              </w:rPr>
              <w:t>major river and park wide improvement</w:t>
            </w:r>
            <w:r w:rsidR="001B0B6E">
              <w:rPr>
                <w:rFonts w:cs="Arial"/>
              </w:rPr>
              <w:t>s</w:t>
            </w:r>
            <w:r w:rsidRPr="00CB6AB7">
              <w:rPr>
                <w:rFonts w:cs="Arial"/>
              </w:rPr>
              <w:t xml:space="preserve"> to Chandos Recreation Ground</w:t>
            </w:r>
            <w:r>
              <w:rPr>
                <w:rFonts w:cs="Arial"/>
              </w:rPr>
              <w:t>.</w:t>
            </w:r>
          </w:p>
          <w:p w14:paraId="3953034D" w14:textId="77777777" w:rsidR="00545781" w:rsidRPr="00545781" w:rsidRDefault="00545781" w:rsidP="00545781">
            <w:pPr>
              <w:rPr>
                <w:rFonts w:cs="Arial"/>
              </w:rPr>
            </w:pPr>
          </w:p>
          <w:p w14:paraId="6F8A3C15" w14:textId="0329F41A" w:rsidR="00633437" w:rsidRPr="00545781" w:rsidRDefault="00E81973" w:rsidP="005561F9">
            <w:pPr>
              <w:pStyle w:val="ListParagraph"/>
              <w:numPr>
                <w:ilvl w:val="0"/>
                <w:numId w:val="52"/>
              </w:numPr>
              <w:rPr>
                <w:sz w:val="22"/>
              </w:rPr>
            </w:pPr>
            <w:r>
              <w:t>D</w:t>
            </w:r>
            <w:r w:rsidRPr="00E81973">
              <w:t xml:space="preserve">elegated authority to the Corporate Director for Place, following consultation with the Portfolio Holders for </w:t>
            </w:r>
            <w:r w:rsidR="00B64BBF">
              <w:t>Highways</w:t>
            </w:r>
            <w:r w:rsidR="00545781">
              <w:t>,</w:t>
            </w:r>
            <w:r w:rsidR="00B64BBF">
              <w:t xml:space="preserve"> Infrastructure</w:t>
            </w:r>
            <w:r w:rsidRPr="00E81973">
              <w:t xml:space="preserve"> and Community Safety and Finance and Human Resources to approve and make any changes required to the tender</w:t>
            </w:r>
            <w:r>
              <w:t xml:space="preserve"> evaluation criteria or specification.</w:t>
            </w:r>
            <w:r w:rsidRPr="00E81973" w:rsidDel="00E81973">
              <w:t xml:space="preserve"> </w:t>
            </w:r>
          </w:p>
          <w:p w14:paraId="7B8640F7" w14:textId="77777777" w:rsidR="00545781" w:rsidRPr="00545781" w:rsidRDefault="00545781" w:rsidP="00545781">
            <w:pPr>
              <w:rPr>
                <w:sz w:val="22"/>
              </w:rPr>
            </w:pPr>
          </w:p>
          <w:p w14:paraId="0775BAF8" w14:textId="234093FB" w:rsidR="008B4C37" w:rsidRPr="00690908" w:rsidRDefault="008B4C37" w:rsidP="005561F9">
            <w:pPr>
              <w:pStyle w:val="BodyText"/>
              <w:numPr>
                <w:ilvl w:val="0"/>
                <w:numId w:val="52"/>
              </w:numPr>
              <w:ind w:left="462" w:right="844"/>
            </w:pPr>
            <w:r w:rsidRPr="00690908">
              <w:rPr>
                <w:i w:val="0"/>
                <w:iCs w:val="0"/>
              </w:rPr>
              <w:t>Delegate authority to the Corporate Director of Place, following consultation with the Portfolio Holder</w:t>
            </w:r>
            <w:r w:rsidR="004B51FD" w:rsidRPr="00690908">
              <w:rPr>
                <w:i w:val="0"/>
                <w:iCs w:val="0"/>
              </w:rPr>
              <w:t>s</w:t>
            </w:r>
            <w:r w:rsidRPr="00690908">
              <w:rPr>
                <w:i w:val="0"/>
                <w:iCs w:val="0"/>
              </w:rPr>
              <w:t xml:space="preserve"> for </w:t>
            </w:r>
            <w:r w:rsidR="00B64BBF" w:rsidRPr="00B64BBF">
              <w:rPr>
                <w:i w:val="0"/>
                <w:iCs w:val="0"/>
              </w:rPr>
              <w:t>Highways</w:t>
            </w:r>
            <w:r w:rsidR="00545781">
              <w:rPr>
                <w:i w:val="0"/>
                <w:iCs w:val="0"/>
              </w:rPr>
              <w:t>,</w:t>
            </w:r>
            <w:r w:rsidR="00B64BBF" w:rsidRPr="00B64BBF">
              <w:rPr>
                <w:i w:val="0"/>
                <w:iCs w:val="0"/>
              </w:rPr>
              <w:t>Infrastructure</w:t>
            </w:r>
            <w:r w:rsidR="004B51FD" w:rsidRPr="00690908">
              <w:rPr>
                <w:i w:val="0"/>
                <w:iCs w:val="0"/>
              </w:rPr>
              <w:t xml:space="preserve"> and Community Safety and </w:t>
            </w:r>
            <w:r w:rsidRPr="00690908">
              <w:rPr>
                <w:i w:val="0"/>
                <w:iCs w:val="0"/>
              </w:rPr>
              <w:t xml:space="preserve">Finance and Human Resources and the Director of </w:t>
            </w:r>
            <w:r w:rsidR="004B51FD" w:rsidRPr="00690908">
              <w:rPr>
                <w:i w:val="0"/>
                <w:iCs w:val="0"/>
              </w:rPr>
              <w:t>Finance,</w:t>
            </w:r>
            <w:r w:rsidRPr="00690908">
              <w:rPr>
                <w:i w:val="0"/>
                <w:iCs w:val="0"/>
              </w:rPr>
              <w:t xml:space="preserve"> following a competitive and compliant procurement process, to award </w:t>
            </w:r>
            <w:r w:rsidR="000918A0" w:rsidRPr="00690908">
              <w:rPr>
                <w:i w:val="0"/>
                <w:iCs w:val="0"/>
              </w:rPr>
              <w:t xml:space="preserve">and appoint </w:t>
            </w:r>
            <w:r w:rsidR="008C0825">
              <w:rPr>
                <w:i w:val="0"/>
                <w:iCs w:val="0"/>
              </w:rPr>
              <w:t>a supplier</w:t>
            </w:r>
            <w:r w:rsidR="000918A0" w:rsidRPr="00690908">
              <w:rPr>
                <w:i w:val="0"/>
                <w:iCs w:val="0"/>
              </w:rPr>
              <w:t xml:space="preserve"> </w:t>
            </w:r>
            <w:r w:rsidR="004B51FD" w:rsidRPr="00690908">
              <w:rPr>
                <w:i w:val="0"/>
                <w:iCs w:val="0"/>
              </w:rPr>
              <w:t xml:space="preserve">for the </w:t>
            </w:r>
            <w:r w:rsidR="006E1332">
              <w:rPr>
                <w:i w:val="0"/>
                <w:iCs w:val="0"/>
              </w:rPr>
              <w:t>£2</w:t>
            </w:r>
            <w:r w:rsidR="00FE66AF">
              <w:rPr>
                <w:i w:val="0"/>
                <w:iCs w:val="0"/>
              </w:rPr>
              <w:t>.5</w:t>
            </w:r>
            <w:r w:rsidR="006E1332">
              <w:rPr>
                <w:i w:val="0"/>
                <w:iCs w:val="0"/>
              </w:rPr>
              <w:t xml:space="preserve">m </w:t>
            </w:r>
            <w:r w:rsidR="002A40E0">
              <w:rPr>
                <w:i w:val="0"/>
                <w:iCs w:val="0"/>
              </w:rPr>
              <w:t xml:space="preserve">Chandos Recreation Ground major </w:t>
            </w:r>
            <w:r w:rsidR="00C801B5">
              <w:rPr>
                <w:i w:val="0"/>
                <w:iCs w:val="0"/>
              </w:rPr>
              <w:t xml:space="preserve">river and </w:t>
            </w:r>
            <w:r w:rsidR="002A40E0">
              <w:rPr>
                <w:i w:val="0"/>
                <w:iCs w:val="0"/>
              </w:rPr>
              <w:t>park improvements</w:t>
            </w:r>
            <w:r w:rsidR="006E1332">
              <w:rPr>
                <w:i w:val="0"/>
                <w:iCs w:val="0"/>
              </w:rPr>
              <w:t xml:space="preserve"> </w:t>
            </w:r>
            <w:r w:rsidR="007C4241">
              <w:rPr>
                <w:i w:val="0"/>
                <w:iCs w:val="0"/>
              </w:rPr>
              <w:t xml:space="preserve">commencing spring 2024 for a </w:t>
            </w:r>
            <w:r w:rsidR="00E24FBB">
              <w:rPr>
                <w:i w:val="0"/>
                <w:iCs w:val="0"/>
              </w:rPr>
              <w:t>9</w:t>
            </w:r>
            <w:r w:rsidR="007C4241">
              <w:rPr>
                <w:i w:val="0"/>
                <w:iCs w:val="0"/>
              </w:rPr>
              <w:t xml:space="preserve">-month </w:t>
            </w:r>
            <w:r w:rsidR="00E24FBB">
              <w:rPr>
                <w:i w:val="0"/>
                <w:iCs w:val="0"/>
              </w:rPr>
              <w:t xml:space="preserve">construction phase </w:t>
            </w:r>
            <w:r w:rsidR="007C4241">
              <w:rPr>
                <w:i w:val="0"/>
                <w:iCs w:val="0"/>
              </w:rPr>
              <w:t>period</w:t>
            </w:r>
            <w:r w:rsidRPr="00690908">
              <w:rPr>
                <w:i w:val="0"/>
                <w:iCs w:val="0"/>
              </w:rPr>
              <w:t>.</w:t>
            </w:r>
          </w:p>
          <w:p w14:paraId="38F540E1" w14:textId="77777777" w:rsidR="00EE2A7C" w:rsidRPr="00633437" w:rsidRDefault="00EE2A7C" w:rsidP="00633437">
            <w:pPr>
              <w:pStyle w:val="BodyText"/>
              <w:spacing w:before="1"/>
              <w:rPr>
                <w:i w:val="0"/>
                <w:iCs w:val="0"/>
                <w:sz w:val="22"/>
              </w:rPr>
            </w:pPr>
          </w:p>
          <w:p w14:paraId="252FDFB3" w14:textId="77777777" w:rsidR="00633437" w:rsidRPr="00633437" w:rsidRDefault="00633437" w:rsidP="00633437">
            <w:pPr>
              <w:ind w:left="103"/>
              <w:rPr>
                <w:b/>
              </w:rPr>
            </w:pPr>
            <w:r w:rsidRPr="00633437">
              <w:rPr>
                <w:b/>
              </w:rPr>
              <w:t>Reason:</w:t>
            </w:r>
            <w:r w:rsidRPr="00633437">
              <w:rPr>
                <w:b/>
                <w:spacing w:val="63"/>
              </w:rPr>
              <w:t xml:space="preserve"> </w:t>
            </w:r>
            <w:r w:rsidRPr="00633437">
              <w:rPr>
                <w:b/>
              </w:rPr>
              <w:t>(For</w:t>
            </w:r>
            <w:r w:rsidRPr="00633437">
              <w:rPr>
                <w:b/>
                <w:spacing w:val="-1"/>
              </w:rPr>
              <w:t xml:space="preserve"> </w:t>
            </w:r>
            <w:r w:rsidRPr="00633437">
              <w:rPr>
                <w:b/>
              </w:rPr>
              <w:t>recommendations)</w:t>
            </w:r>
          </w:p>
          <w:p w14:paraId="08B0A7FD" w14:textId="6FD6094A" w:rsidR="00333FAA" w:rsidRDefault="00633437" w:rsidP="009A5B0E">
            <w:pPr>
              <w:pStyle w:val="BodyText"/>
              <w:ind w:left="103" w:right="951"/>
              <w:rPr>
                <w:i w:val="0"/>
                <w:iCs w:val="0"/>
              </w:rPr>
            </w:pPr>
            <w:r w:rsidRPr="00633437">
              <w:rPr>
                <w:i w:val="0"/>
                <w:iCs w:val="0"/>
              </w:rPr>
              <w:t xml:space="preserve">To </w:t>
            </w:r>
            <w:r w:rsidR="000F49E8">
              <w:rPr>
                <w:i w:val="0"/>
                <w:iCs w:val="0"/>
              </w:rPr>
              <w:t xml:space="preserve">ensure the Council fulfils its </w:t>
            </w:r>
            <w:r w:rsidR="00A96A6B">
              <w:rPr>
                <w:i w:val="0"/>
                <w:iCs w:val="0"/>
              </w:rPr>
              <w:t xml:space="preserve">Flood </w:t>
            </w:r>
            <w:r w:rsidR="00A476EC">
              <w:rPr>
                <w:i w:val="0"/>
                <w:iCs w:val="0"/>
              </w:rPr>
              <w:t xml:space="preserve">Water Management Act 2010 </w:t>
            </w:r>
            <w:r w:rsidR="000F49E8">
              <w:rPr>
                <w:i w:val="0"/>
                <w:iCs w:val="0"/>
              </w:rPr>
              <w:t xml:space="preserve">statutory </w:t>
            </w:r>
            <w:r w:rsidR="003C0282">
              <w:rPr>
                <w:i w:val="0"/>
                <w:iCs w:val="0"/>
              </w:rPr>
              <w:t>responsibilities</w:t>
            </w:r>
            <w:r w:rsidR="000F49E8">
              <w:rPr>
                <w:i w:val="0"/>
                <w:iCs w:val="0"/>
              </w:rPr>
              <w:t xml:space="preserve"> </w:t>
            </w:r>
            <w:r w:rsidR="00CC360A">
              <w:rPr>
                <w:i w:val="0"/>
                <w:iCs w:val="0"/>
              </w:rPr>
              <w:t xml:space="preserve">by </w:t>
            </w:r>
            <w:r w:rsidR="007E18C8">
              <w:rPr>
                <w:i w:val="0"/>
                <w:iCs w:val="0"/>
              </w:rPr>
              <w:t>undertak</w:t>
            </w:r>
            <w:r w:rsidR="00CC360A">
              <w:rPr>
                <w:i w:val="0"/>
                <w:iCs w:val="0"/>
              </w:rPr>
              <w:t>ing</w:t>
            </w:r>
            <w:r w:rsidR="007E18C8">
              <w:rPr>
                <w:i w:val="0"/>
                <w:iCs w:val="0"/>
              </w:rPr>
              <w:t xml:space="preserve"> </w:t>
            </w:r>
            <w:r w:rsidR="00005FDF">
              <w:rPr>
                <w:i w:val="0"/>
                <w:iCs w:val="0"/>
              </w:rPr>
              <w:t xml:space="preserve">major </w:t>
            </w:r>
            <w:r w:rsidR="00CC360A">
              <w:rPr>
                <w:i w:val="0"/>
                <w:iCs w:val="0"/>
              </w:rPr>
              <w:t xml:space="preserve">flood resilience works to the Edgware Brook and </w:t>
            </w:r>
            <w:r w:rsidR="00005FDF">
              <w:rPr>
                <w:i w:val="0"/>
                <w:iCs w:val="0"/>
              </w:rPr>
              <w:t xml:space="preserve">improvements </w:t>
            </w:r>
            <w:r w:rsidR="00810705">
              <w:rPr>
                <w:i w:val="0"/>
                <w:iCs w:val="0"/>
              </w:rPr>
              <w:t xml:space="preserve">to the </w:t>
            </w:r>
            <w:r w:rsidR="00DF574C">
              <w:rPr>
                <w:i w:val="0"/>
                <w:iCs w:val="0"/>
              </w:rPr>
              <w:t>landscap</w:t>
            </w:r>
            <w:r w:rsidR="00810705">
              <w:rPr>
                <w:i w:val="0"/>
                <w:iCs w:val="0"/>
              </w:rPr>
              <w:t>e</w:t>
            </w:r>
            <w:r w:rsidR="00DF574C">
              <w:rPr>
                <w:i w:val="0"/>
                <w:iCs w:val="0"/>
              </w:rPr>
              <w:t xml:space="preserve">, </w:t>
            </w:r>
            <w:r w:rsidR="006857C5">
              <w:rPr>
                <w:i w:val="0"/>
                <w:iCs w:val="0"/>
              </w:rPr>
              <w:t>footpaths, car park</w:t>
            </w:r>
            <w:r w:rsidR="00F406E1">
              <w:rPr>
                <w:i w:val="0"/>
                <w:iCs w:val="0"/>
              </w:rPr>
              <w:t>, entrances</w:t>
            </w:r>
            <w:r w:rsidR="006857C5">
              <w:rPr>
                <w:i w:val="0"/>
                <w:iCs w:val="0"/>
              </w:rPr>
              <w:t xml:space="preserve"> and </w:t>
            </w:r>
            <w:r w:rsidR="005E2798">
              <w:rPr>
                <w:i w:val="0"/>
                <w:iCs w:val="0"/>
              </w:rPr>
              <w:t xml:space="preserve">play area </w:t>
            </w:r>
            <w:r w:rsidR="00DF574C">
              <w:rPr>
                <w:i w:val="0"/>
                <w:iCs w:val="0"/>
              </w:rPr>
              <w:t>in Chandos Recreation Ground.</w:t>
            </w:r>
          </w:p>
          <w:p w14:paraId="50E2603F" w14:textId="77777777" w:rsidR="00E217CF" w:rsidRDefault="00E217CF" w:rsidP="009A5B0E">
            <w:pPr>
              <w:pStyle w:val="BodyText"/>
              <w:ind w:left="103" w:right="951"/>
              <w:rPr>
                <w:i w:val="0"/>
                <w:iCs w:val="0"/>
              </w:rPr>
            </w:pPr>
          </w:p>
          <w:p w14:paraId="5FD6D9CB" w14:textId="77777777" w:rsidR="0069096D" w:rsidRDefault="0069096D" w:rsidP="0069096D">
            <w:pPr>
              <w:pStyle w:val="BodyText"/>
              <w:ind w:right="951"/>
              <w:rPr>
                <w:i w:val="0"/>
                <w:iCs w:val="0"/>
              </w:rPr>
            </w:pPr>
          </w:p>
          <w:p w14:paraId="313BC81E" w14:textId="3C8ED12C" w:rsidR="006771E3" w:rsidRPr="009A5B0E" w:rsidRDefault="006771E3" w:rsidP="00EE2A7C">
            <w:pPr>
              <w:pStyle w:val="BodyText"/>
              <w:ind w:right="951"/>
              <w:rPr>
                <w:i w:val="0"/>
                <w:iCs w:val="0"/>
              </w:rPr>
            </w:pPr>
          </w:p>
        </w:tc>
      </w:tr>
    </w:tbl>
    <w:p w14:paraId="493A88BD" w14:textId="645D5968" w:rsidR="00EE2A7C" w:rsidRDefault="00EE2A7C" w:rsidP="00F06E4E">
      <w:pPr>
        <w:pStyle w:val="Heading2"/>
        <w:spacing w:before="480"/>
      </w:pPr>
    </w:p>
    <w:p w14:paraId="6C3BE24A" w14:textId="77777777" w:rsidR="00EE2A7C" w:rsidRPr="00EE2A7C" w:rsidRDefault="00EE2A7C" w:rsidP="00EE2A7C"/>
    <w:p w14:paraId="0204F38A" w14:textId="1019CF83" w:rsidR="00333FAA" w:rsidRDefault="00333FAA" w:rsidP="00F06E4E">
      <w:pPr>
        <w:pStyle w:val="Heading2"/>
        <w:spacing w:before="480"/>
      </w:pPr>
      <w:r>
        <w:lastRenderedPageBreak/>
        <w:t>Section 2 – Report</w:t>
      </w:r>
    </w:p>
    <w:p w14:paraId="76168D48" w14:textId="2A77BDA2" w:rsidR="001C7E35" w:rsidRDefault="001C7E35" w:rsidP="00F06E4E">
      <w:pPr>
        <w:pStyle w:val="Heading3"/>
        <w:spacing w:before="240"/>
      </w:pPr>
      <w:r>
        <w:t>Introductory paragraph</w:t>
      </w:r>
    </w:p>
    <w:p w14:paraId="4EB2B7C8" w14:textId="77777777" w:rsidR="005F6B9A" w:rsidRPr="005F6B9A" w:rsidRDefault="005F6B9A" w:rsidP="00690908"/>
    <w:p w14:paraId="4FF7B44D" w14:textId="2C1B0277" w:rsidR="005F30EA" w:rsidRDefault="00873CD0" w:rsidP="00690908">
      <w:pPr>
        <w:pStyle w:val="ListParagraph"/>
        <w:widowControl w:val="0"/>
        <w:numPr>
          <w:ilvl w:val="1"/>
          <w:numId w:val="48"/>
        </w:numPr>
        <w:tabs>
          <w:tab w:val="left" w:pos="993"/>
        </w:tabs>
        <w:autoSpaceDE w:val="0"/>
        <w:autoSpaceDN w:val="0"/>
        <w:ind w:left="720" w:right="87" w:hanging="720"/>
      </w:pPr>
      <w:r>
        <w:t>In 2010 the Flood and Water Management Act became law</w:t>
      </w:r>
      <w:r w:rsidR="00F530EF">
        <w:t xml:space="preserve"> designating Local Authorities </w:t>
      </w:r>
      <w:r w:rsidR="00046DD3">
        <w:t xml:space="preserve">as Lead Local Flood Authority </w:t>
      </w:r>
      <w:r w:rsidR="00DC2E71">
        <w:t xml:space="preserve">(LLFA) </w:t>
      </w:r>
      <w:r w:rsidR="00046DD3">
        <w:t xml:space="preserve">requiring them to </w:t>
      </w:r>
      <w:r w:rsidR="00EB1907">
        <w:t>develop local flood risk management strategies</w:t>
      </w:r>
      <w:r w:rsidR="00314B90">
        <w:t>, investigate flooding</w:t>
      </w:r>
      <w:r w:rsidR="00DC2E71">
        <w:t xml:space="preserve"> and manage risk of flooding from surface water, groundwater and ordinary watercourses and lead on community recovery. </w:t>
      </w:r>
    </w:p>
    <w:p w14:paraId="739B20F1" w14:textId="77777777" w:rsidR="00DC2E71" w:rsidRDefault="00DC2E71" w:rsidP="00DC2E71">
      <w:pPr>
        <w:pStyle w:val="ListParagraph"/>
        <w:widowControl w:val="0"/>
        <w:tabs>
          <w:tab w:val="left" w:pos="993"/>
        </w:tabs>
        <w:autoSpaceDE w:val="0"/>
        <w:autoSpaceDN w:val="0"/>
        <w:ind w:right="87"/>
      </w:pPr>
    </w:p>
    <w:p w14:paraId="457A3D5D" w14:textId="200E9F99" w:rsidR="006C1AD1" w:rsidRDefault="00DC2E71" w:rsidP="00EA5B03">
      <w:pPr>
        <w:pStyle w:val="ListParagraph"/>
        <w:widowControl w:val="0"/>
        <w:tabs>
          <w:tab w:val="left" w:pos="993"/>
        </w:tabs>
        <w:autoSpaceDE w:val="0"/>
        <w:autoSpaceDN w:val="0"/>
        <w:ind w:right="87"/>
      </w:pPr>
      <w:r>
        <w:t xml:space="preserve">The LLFA must also </w:t>
      </w:r>
      <w:r w:rsidR="006771E3">
        <w:t>designate, inspect, and protect flood defence assets</w:t>
      </w:r>
      <w:r w:rsidR="00EA5B03">
        <w:t xml:space="preserve"> which include our </w:t>
      </w:r>
      <w:r w:rsidR="002265AC">
        <w:t>8</w:t>
      </w:r>
      <w:r w:rsidR="00EA5B03">
        <w:t>2</w:t>
      </w:r>
      <w:r w:rsidR="002265AC">
        <w:t xml:space="preserve">kms </w:t>
      </w:r>
      <w:r w:rsidR="0072312D">
        <w:t xml:space="preserve">of rivers, </w:t>
      </w:r>
      <w:r w:rsidR="002265AC">
        <w:t xml:space="preserve">70 </w:t>
      </w:r>
      <w:r w:rsidR="006C1AD1">
        <w:t xml:space="preserve">flood defence </w:t>
      </w:r>
      <w:r w:rsidR="0072312D">
        <w:t>and 1</w:t>
      </w:r>
      <w:r w:rsidR="004E39AF">
        <w:t>2</w:t>
      </w:r>
      <w:r w:rsidR="0072312D">
        <w:t xml:space="preserve"> flood storage area</w:t>
      </w:r>
      <w:r w:rsidR="00EA5B03">
        <w:t>s.</w:t>
      </w:r>
    </w:p>
    <w:p w14:paraId="3A5D10F5" w14:textId="77777777" w:rsidR="006C1AD1" w:rsidRDefault="006C1AD1" w:rsidP="006C1AD1">
      <w:pPr>
        <w:pStyle w:val="ListParagraph"/>
        <w:widowControl w:val="0"/>
        <w:tabs>
          <w:tab w:val="left" w:pos="993"/>
        </w:tabs>
        <w:autoSpaceDE w:val="0"/>
        <w:autoSpaceDN w:val="0"/>
        <w:ind w:right="87"/>
      </w:pPr>
    </w:p>
    <w:p w14:paraId="390973CE" w14:textId="27BE3FA5" w:rsidR="0097411D" w:rsidRDefault="00CA5DC0" w:rsidP="00AA68A3">
      <w:pPr>
        <w:pStyle w:val="ListParagraph"/>
        <w:widowControl w:val="0"/>
        <w:numPr>
          <w:ilvl w:val="1"/>
          <w:numId w:val="48"/>
        </w:numPr>
        <w:tabs>
          <w:tab w:val="left" w:pos="993"/>
        </w:tabs>
        <w:autoSpaceDE w:val="0"/>
        <w:autoSpaceDN w:val="0"/>
        <w:ind w:left="720" w:right="87" w:hanging="720"/>
      </w:pPr>
      <w:r>
        <w:t xml:space="preserve">In March 2021 </w:t>
      </w:r>
      <w:r w:rsidR="00463653">
        <w:t xml:space="preserve">LB </w:t>
      </w:r>
      <w:r w:rsidR="004C0E95">
        <w:t>Barnet</w:t>
      </w:r>
      <w:r w:rsidR="00463653">
        <w:t xml:space="preserve"> </w:t>
      </w:r>
      <w:r w:rsidR="00800562">
        <w:t xml:space="preserve">in partnership with the Council </w:t>
      </w:r>
      <w:r w:rsidR="00755D22">
        <w:t xml:space="preserve">were </w:t>
      </w:r>
      <w:r w:rsidR="00735F74">
        <w:t xml:space="preserve">awarded </w:t>
      </w:r>
      <w:r w:rsidR="00420B0A">
        <w:t>£6m over 6 years to reduce flood risk and increase flood resilience in the Silk Stream catchment</w:t>
      </w:r>
      <w:r w:rsidR="00AA68A3">
        <w:t xml:space="preserve"> the pioneering</w:t>
      </w:r>
      <w:r w:rsidR="004C0E95">
        <w:t xml:space="preserve"> Defra Flood, Resilience and Innovation program</w:t>
      </w:r>
      <w:r w:rsidR="00D20275">
        <w:t xml:space="preserve"> </w:t>
      </w:r>
      <w:hyperlink r:id="rId13" w:history="1">
        <w:r w:rsidR="00D20275">
          <w:rPr>
            <w:rStyle w:val="Hyperlink"/>
          </w:rPr>
          <w:t xml:space="preserve">Flood and coastal innovation programmes </w:t>
        </w:r>
        <w:r w:rsidR="00057D53">
          <w:rPr>
            <w:rStyle w:val="Hyperlink"/>
          </w:rPr>
          <w:t>–</w:t>
        </w:r>
        <w:r w:rsidR="00D20275">
          <w:rPr>
            <w:rStyle w:val="Hyperlink"/>
          </w:rPr>
          <w:t xml:space="preserve"> GOV.UK (www.gov.uk)</w:t>
        </w:r>
      </w:hyperlink>
      <w:r w:rsidR="00AD1A1E">
        <w:t xml:space="preserve">. </w:t>
      </w:r>
    </w:p>
    <w:p w14:paraId="17A25EDA" w14:textId="77777777" w:rsidR="0097411D" w:rsidRDefault="0097411D" w:rsidP="0097411D">
      <w:pPr>
        <w:pStyle w:val="ListParagraph"/>
        <w:widowControl w:val="0"/>
        <w:tabs>
          <w:tab w:val="left" w:pos="993"/>
        </w:tabs>
        <w:autoSpaceDE w:val="0"/>
        <w:autoSpaceDN w:val="0"/>
        <w:ind w:right="87"/>
      </w:pPr>
    </w:p>
    <w:p w14:paraId="4B8167DC" w14:textId="1F3D0CF6" w:rsidR="009D731C" w:rsidRDefault="003A0BDD" w:rsidP="0097411D">
      <w:pPr>
        <w:pStyle w:val="ListParagraph"/>
        <w:widowControl w:val="0"/>
        <w:tabs>
          <w:tab w:val="left" w:pos="993"/>
        </w:tabs>
        <w:autoSpaceDE w:val="0"/>
        <w:autoSpaceDN w:val="0"/>
        <w:ind w:right="87"/>
      </w:pPr>
      <w:r>
        <w:t xml:space="preserve">Our project </w:t>
      </w:r>
      <w:r w:rsidR="003F17F5">
        <w:t>is delivering new innovative funding framework</w:t>
      </w:r>
      <w:r w:rsidR="002A7121">
        <w:t>s</w:t>
      </w:r>
      <w:r w:rsidR="009D731C">
        <w:t xml:space="preserve"> from ecosystems</w:t>
      </w:r>
      <w:r w:rsidR="000475CF">
        <w:t xml:space="preserve">, natural </w:t>
      </w:r>
      <w:r w:rsidR="00AA77E1">
        <w:t>capital,</w:t>
      </w:r>
      <w:r w:rsidR="000475CF">
        <w:t xml:space="preserve"> and green financing </w:t>
      </w:r>
      <w:r w:rsidR="00330C48">
        <w:t>in partnership with</w:t>
      </w:r>
      <w:r w:rsidR="000475CF">
        <w:t xml:space="preserve"> the private sector. Developing innovative approaches to community engagement and s</w:t>
      </w:r>
      <w:r w:rsidR="00BC7744">
        <w:t xml:space="preserve">tewardship </w:t>
      </w:r>
      <w:r w:rsidR="00330C48">
        <w:t>to deliver</w:t>
      </w:r>
      <w:r w:rsidR="00BC7744">
        <w:t xml:space="preserve"> integrated land management measures </w:t>
      </w:r>
      <w:r w:rsidR="00330C48">
        <w:t xml:space="preserve">interventions </w:t>
      </w:r>
      <w:r w:rsidR="00BC7744">
        <w:t>to reduce flood</w:t>
      </w:r>
      <w:r w:rsidR="00173276">
        <w:t xml:space="preserve"> risk at a hydrological catchment scale.</w:t>
      </w:r>
    </w:p>
    <w:p w14:paraId="73DB669A" w14:textId="77777777" w:rsidR="009D731C" w:rsidRDefault="009D731C" w:rsidP="0097411D">
      <w:pPr>
        <w:pStyle w:val="ListParagraph"/>
        <w:widowControl w:val="0"/>
        <w:tabs>
          <w:tab w:val="left" w:pos="993"/>
        </w:tabs>
        <w:autoSpaceDE w:val="0"/>
        <w:autoSpaceDN w:val="0"/>
        <w:ind w:right="87"/>
      </w:pPr>
    </w:p>
    <w:p w14:paraId="1219454A" w14:textId="33C49E98" w:rsidR="009119EC" w:rsidRPr="00940DB9" w:rsidRDefault="009119EC" w:rsidP="0097411D">
      <w:pPr>
        <w:pStyle w:val="ListParagraph"/>
        <w:widowControl w:val="0"/>
        <w:tabs>
          <w:tab w:val="left" w:pos="993"/>
        </w:tabs>
        <w:autoSpaceDE w:val="0"/>
        <w:autoSpaceDN w:val="0"/>
        <w:ind w:right="87"/>
      </w:pPr>
      <w:r>
        <w:t>The project economic case for investment has been approved by the Environment Agency</w:t>
      </w:r>
      <w:r w:rsidR="006D171A">
        <w:t xml:space="preserve"> (EA)</w:t>
      </w:r>
      <w:r>
        <w:t xml:space="preserve"> </w:t>
      </w:r>
      <w:r w:rsidR="007F0617">
        <w:t xml:space="preserve">to deliver nature based </w:t>
      </w:r>
      <w:r w:rsidR="00086F70">
        <w:t xml:space="preserve">urban drainage </w:t>
      </w:r>
      <w:r w:rsidR="007F0617">
        <w:t>solutions</w:t>
      </w:r>
      <w:r w:rsidR="00B031A8">
        <w:t xml:space="preserve">, </w:t>
      </w:r>
      <w:r w:rsidR="00086F70">
        <w:t xml:space="preserve">improve </w:t>
      </w:r>
      <w:r w:rsidR="00B031A8">
        <w:t xml:space="preserve">flood </w:t>
      </w:r>
      <w:r w:rsidR="00086F70">
        <w:t>resilience</w:t>
      </w:r>
      <w:r w:rsidR="00291FBD">
        <w:t xml:space="preserve">, amenity, habitat, biodiversity, </w:t>
      </w:r>
      <w:r w:rsidR="001449F6">
        <w:t>water,</w:t>
      </w:r>
      <w:r w:rsidR="00291FBD">
        <w:t xml:space="preserve"> and air </w:t>
      </w:r>
      <w:r w:rsidR="008D4944">
        <w:t>quality,</w:t>
      </w:r>
      <w:r w:rsidR="00FA460F">
        <w:t xml:space="preserve"> and increase awareness, </w:t>
      </w:r>
      <w:r w:rsidR="008D4944">
        <w:t>knowledge,</w:t>
      </w:r>
      <w:r w:rsidR="00FA460F">
        <w:t xml:space="preserve"> </w:t>
      </w:r>
      <w:r w:rsidR="00B0106D">
        <w:t xml:space="preserve">and support from local communities through a program of engagement. </w:t>
      </w:r>
      <w:r w:rsidR="00407E15" w:rsidRPr="001068C8">
        <w:t>Appendix A</w:t>
      </w:r>
      <w:r w:rsidR="00917C5E" w:rsidRPr="001068C8">
        <w:t>.</w:t>
      </w:r>
      <w:r w:rsidR="00076C7F" w:rsidRPr="001068C8">
        <w:t xml:space="preserve"> </w:t>
      </w:r>
      <w:r w:rsidR="007657F1" w:rsidRPr="00940DB9">
        <w:t xml:space="preserve">section 1 </w:t>
      </w:r>
      <w:r w:rsidR="00A02782" w:rsidRPr="00940DB9">
        <w:t>page</w:t>
      </w:r>
      <w:r w:rsidR="003C069F" w:rsidRPr="00940DB9">
        <w:t xml:space="preserve"> 9</w:t>
      </w:r>
      <w:r w:rsidR="00BC4D6D" w:rsidRPr="00940DB9">
        <w:t>-14</w:t>
      </w:r>
      <w:r w:rsidR="003C069F" w:rsidRPr="00940DB9">
        <w:t xml:space="preserve"> </w:t>
      </w:r>
      <w:r w:rsidR="007A6823" w:rsidRPr="00940DB9">
        <w:t xml:space="preserve">AfSS </w:t>
      </w:r>
      <w:r w:rsidR="006D171A" w:rsidRPr="00940DB9">
        <w:t xml:space="preserve">EA </w:t>
      </w:r>
      <w:r w:rsidR="00076C7F" w:rsidRPr="00940DB9">
        <w:t>Outline Business Case</w:t>
      </w:r>
      <w:r w:rsidR="003D0F47" w:rsidRPr="00940DB9">
        <w:t xml:space="preserve"> that sets out the strategic, economic, commercial</w:t>
      </w:r>
      <w:r w:rsidR="00F31FB5" w:rsidRPr="00940DB9">
        <w:t xml:space="preserve">, financial, management cases and recommendations. </w:t>
      </w:r>
    </w:p>
    <w:p w14:paraId="7D3E6F6B" w14:textId="77777777" w:rsidR="006B307C" w:rsidRDefault="006B307C" w:rsidP="0097411D">
      <w:pPr>
        <w:pStyle w:val="ListParagraph"/>
        <w:widowControl w:val="0"/>
        <w:tabs>
          <w:tab w:val="left" w:pos="993"/>
        </w:tabs>
        <w:autoSpaceDE w:val="0"/>
        <w:autoSpaceDN w:val="0"/>
        <w:ind w:right="87"/>
      </w:pPr>
    </w:p>
    <w:p w14:paraId="1D16F440" w14:textId="712BD1DB" w:rsidR="006B307C" w:rsidRDefault="006B307C" w:rsidP="006B307C">
      <w:pPr>
        <w:pStyle w:val="ListParagraph"/>
        <w:widowControl w:val="0"/>
        <w:tabs>
          <w:tab w:val="left" w:pos="993"/>
        </w:tabs>
        <w:autoSpaceDE w:val="0"/>
        <w:autoSpaceDN w:val="0"/>
        <w:ind w:right="87"/>
      </w:pPr>
      <w:r>
        <w:t xml:space="preserve">A further successful grant application of £600k was made to the GLA Green Resilient Spaces Fund </w:t>
      </w:r>
      <w:hyperlink r:id="rId14" w:history="1">
        <w:r>
          <w:rPr>
            <w:rStyle w:val="Hyperlink"/>
          </w:rPr>
          <w:t>Green and Resilient Spaces Fund – Round Two | London City Hall</w:t>
        </w:r>
      </w:hyperlink>
      <w:r>
        <w:t xml:space="preserve"> for Chandos Recreation Ground </w:t>
      </w:r>
      <w:r w:rsidR="00E71F2C">
        <w:t xml:space="preserve">(Harrow) </w:t>
      </w:r>
      <w:r>
        <w:t>and Watling Park</w:t>
      </w:r>
      <w:r w:rsidR="00E71F2C">
        <w:t xml:space="preserve"> (Barnet)</w:t>
      </w:r>
      <w:r>
        <w:t xml:space="preserve"> to deliver </w:t>
      </w:r>
      <w:r w:rsidR="00C26EA7">
        <w:t xml:space="preserve">the </w:t>
      </w:r>
      <w:r>
        <w:t>wider park infrastructure improvements</w:t>
      </w:r>
      <w:r w:rsidR="00292933">
        <w:t>.</w:t>
      </w:r>
      <w:r>
        <w:t xml:space="preserve"> </w:t>
      </w:r>
    </w:p>
    <w:p w14:paraId="444C7232" w14:textId="77777777" w:rsidR="00057D53" w:rsidRDefault="00057D53" w:rsidP="00DB348F">
      <w:pPr>
        <w:pStyle w:val="ListParagraph"/>
      </w:pPr>
    </w:p>
    <w:p w14:paraId="5D695FA3" w14:textId="6EB9DD60" w:rsidR="008D4944" w:rsidRPr="001068C8" w:rsidRDefault="00A348ED" w:rsidP="008D4944">
      <w:pPr>
        <w:pStyle w:val="ListParagraph"/>
        <w:widowControl w:val="0"/>
        <w:numPr>
          <w:ilvl w:val="1"/>
          <w:numId w:val="48"/>
        </w:numPr>
        <w:tabs>
          <w:tab w:val="left" w:pos="993"/>
        </w:tabs>
        <w:autoSpaceDE w:val="0"/>
        <w:autoSpaceDN w:val="0"/>
        <w:ind w:left="720" w:right="87" w:hanging="720"/>
      </w:pPr>
      <w:r w:rsidRPr="001068C8">
        <w:t>We have completed 2 years of community engagement</w:t>
      </w:r>
      <w:r w:rsidR="008C4A57" w:rsidRPr="001068C8">
        <w:t xml:space="preserve"> including</w:t>
      </w:r>
      <w:r w:rsidRPr="001068C8">
        <w:t xml:space="preserve"> consultation and co design workshops</w:t>
      </w:r>
      <w:r w:rsidR="00184142" w:rsidRPr="001068C8">
        <w:t xml:space="preserve"> </w:t>
      </w:r>
      <w:r w:rsidRPr="001068C8">
        <w:t xml:space="preserve">with </w:t>
      </w:r>
      <w:r w:rsidR="00A44A3D" w:rsidRPr="001068C8">
        <w:t>residents</w:t>
      </w:r>
      <w:r w:rsidR="008C4A57" w:rsidRPr="001068C8">
        <w:t xml:space="preserve"> from both Barnet and Harrow</w:t>
      </w:r>
      <w:r w:rsidRPr="001068C8">
        <w:t xml:space="preserve">, parks users and </w:t>
      </w:r>
      <w:r w:rsidR="00103A5D" w:rsidRPr="001068C8">
        <w:t>friends’</w:t>
      </w:r>
      <w:r w:rsidRPr="001068C8">
        <w:t xml:space="preserve"> group</w:t>
      </w:r>
      <w:r w:rsidR="008C4A57" w:rsidRPr="001068C8">
        <w:t>s from both Barnet and Harrow</w:t>
      </w:r>
      <w:r w:rsidRPr="001068C8">
        <w:t xml:space="preserve"> and Ward Councillors</w:t>
      </w:r>
      <w:r w:rsidR="008C4A57" w:rsidRPr="001068C8">
        <w:t xml:space="preserve"> and Portfolio Holders</w:t>
      </w:r>
      <w:r w:rsidRPr="001068C8">
        <w:t xml:space="preserve"> </w:t>
      </w:r>
      <w:r w:rsidR="008C4A57" w:rsidRPr="001068C8">
        <w:t xml:space="preserve">from both Barnet and Harrow </w:t>
      </w:r>
      <w:r w:rsidRPr="001068C8">
        <w:t>during development phase.</w:t>
      </w:r>
    </w:p>
    <w:p w14:paraId="069114A7" w14:textId="77777777" w:rsidR="003C0BFA" w:rsidRDefault="003C0BFA" w:rsidP="003C0BFA">
      <w:pPr>
        <w:pStyle w:val="ListParagraph"/>
        <w:widowControl w:val="0"/>
        <w:tabs>
          <w:tab w:val="left" w:pos="993"/>
        </w:tabs>
        <w:autoSpaceDE w:val="0"/>
        <w:autoSpaceDN w:val="0"/>
        <w:ind w:right="87"/>
      </w:pPr>
    </w:p>
    <w:p w14:paraId="370D6734" w14:textId="3B1607E4" w:rsidR="00F81674" w:rsidRDefault="00354052" w:rsidP="003C0BFA">
      <w:pPr>
        <w:pStyle w:val="ListParagraph"/>
        <w:widowControl w:val="0"/>
        <w:tabs>
          <w:tab w:val="left" w:pos="993"/>
        </w:tabs>
        <w:autoSpaceDE w:val="0"/>
        <w:autoSpaceDN w:val="0"/>
        <w:ind w:right="87"/>
      </w:pPr>
      <w:r>
        <w:t>Working with both Barnet and Harrow Communication teams</w:t>
      </w:r>
      <w:r w:rsidR="00A1112E">
        <w:t xml:space="preserve"> </w:t>
      </w:r>
      <w:r w:rsidR="001227D3">
        <w:t>a c</w:t>
      </w:r>
      <w:r w:rsidR="001227D3" w:rsidRPr="00FB5275">
        <w:t>ommunications and eng</w:t>
      </w:r>
      <w:r w:rsidR="006521EC" w:rsidRPr="00FB5275">
        <w:t xml:space="preserve">agement strategy </w:t>
      </w:r>
      <w:r w:rsidR="00FB5275" w:rsidRPr="00FB5275">
        <w:t xml:space="preserve">and </w:t>
      </w:r>
      <w:r w:rsidR="006521EC" w:rsidRPr="00FB5275">
        <w:t xml:space="preserve">plan </w:t>
      </w:r>
      <w:r w:rsidR="008C4A57" w:rsidRPr="00FB5275">
        <w:t xml:space="preserve">in Appendix B. </w:t>
      </w:r>
      <w:r w:rsidR="006521EC" w:rsidRPr="00FB5275">
        <w:lastRenderedPageBreak/>
        <w:t xml:space="preserve">has been </w:t>
      </w:r>
      <w:r w:rsidR="00A1112E" w:rsidRPr="00FB5275">
        <w:t xml:space="preserve">running </w:t>
      </w:r>
      <w:r w:rsidR="006521EC" w:rsidRPr="00FB5275">
        <w:t xml:space="preserve">to communicate, monitor and evaluate project </w:t>
      </w:r>
      <w:r w:rsidR="007C0482" w:rsidRPr="00FB5275">
        <w:t xml:space="preserve">to measure </w:t>
      </w:r>
      <w:r w:rsidR="006521EC" w:rsidRPr="00FB5275">
        <w:t>progress</w:t>
      </w:r>
      <w:r w:rsidR="00F81674" w:rsidRPr="00FB5275">
        <w:t xml:space="preserve"> and </w:t>
      </w:r>
      <w:r w:rsidR="007C0482" w:rsidRPr="00FB5275">
        <w:t>success</w:t>
      </w:r>
      <w:r w:rsidR="008C4A57" w:rsidRPr="00FB5275">
        <w:t xml:space="preserve">es on both Barnet and Harrow websites </w:t>
      </w:r>
      <w:hyperlink r:id="rId15" w:history="1">
        <w:r w:rsidR="008C4A57">
          <w:rPr>
            <w:rStyle w:val="Hyperlink"/>
          </w:rPr>
          <w:t>Action for Silk Stream | Barnet Council</w:t>
        </w:r>
      </w:hyperlink>
      <w:r w:rsidR="008C4A57">
        <w:t xml:space="preserve"> </w:t>
      </w:r>
      <w:r w:rsidR="008C4A57" w:rsidRPr="00D912D2">
        <w:t>and</w:t>
      </w:r>
      <w:r w:rsidR="008C4A57">
        <w:t xml:space="preserve"> </w:t>
      </w:r>
      <w:hyperlink r:id="rId16" w:history="1">
        <w:r w:rsidR="008C4A57">
          <w:rPr>
            <w:rStyle w:val="Hyperlink"/>
          </w:rPr>
          <w:t>Action for Silk Stream – London Borough of Harrow</w:t>
        </w:r>
      </w:hyperlink>
      <w:r w:rsidR="008C4A57">
        <w:t xml:space="preserve">. </w:t>
      </w:r>
    </w:p>
    <w:p w14:paraId="4E2D4856" w14:textId="77777777" w:rsidR="00F81674" w:rsidRDefault="00F81674" w:rsidP="003C0BFA">
      <w:pPr>
        <w:pStyle w:val="ListParagraph"/>
        <w:widowControl w:val="0"/>
        <w:tabs>
          <w:tab w:val="left" w:pos="993"/>
        </w:tabs>
        <w:autoSpaceDE w:val="0"/>
        <w:autoSpaceDN w:val="0"/>
        <w:ind w:right="87"/>
      </w:pPr>
    </w:p>
    <w:p w14:paraId="4285524D" w14:textId="2446CB17" w:rsidR="003C0BFA" w:rsidRPr="00FB5275" w:rsidRDefault="00F81674" w:rsidP="003C0BFA">
      <w:pPr>
        <w:pStyle w:val="ListParagraph"/>
        <w:widowControl w:val="0"/>
        <w:tabs>
          <w:tab w:val="left" w:pos="993"/>
        </w:tabs>
        <w:autoSpaceDE w:val="0"/>
        <w:autoSpaceDN w:val="0"/>
        <w:ind w:right="87"/>
      </w:pPr>
      <w:r w:rsidRPr="00FB5275">
        <w:t>Behind the strateg</w:t>
      </w:r>
      <w:r w:rsidR="009D6222" w:rsidRPr="00FB5275">
        <w:t>ies</w:t>
      </w:r>
      <w:r w:rsidRPr="00FB5275">
        <w:t xml:space="preserve"> there are community engagement and business action plans</w:t>
      </w:r>
      <w:r w:rsidR="005570BC" w:rsidRPr="00FB5275">
        <w:t xml:space="preserve">, </w:t>
      </w:r>
      <w:r w:rsidR="006667EF" w:rsidRPr="00FB5275">
        <w:t>lesson</w:t>
      </w:r>
      <w:r w:rsidR="007C0482" w:rsidRPr="00FB5275">
        <w:t xml:space="preserve"> learnt</w:t>
      </w:r>
      <w:r w:rsidR="005570BC" w:rsidRPr="00FB5275">
        <w:t xml:space="preserve">, stakeholder </w:t>
      </w:r>
      <w:r w:rsidR="00145D17" w:rsidRPr="00FB5275">
        <w:t xml:space="preserve">mapping and analysis and community </w:t>
      </w:r>
      <w:r w:rsidR="0018103C" w:rsidRPr="00FB5275">
        <w:t xml:space="preserve">and co design </w:t>
      </w:r>
      <w:r w:rsidR="00145D17" w:rsidRPr="00FB5275">
        <w:t>mapping</w:t>
      </w:r>
      <w:r w:rsidR="008C4A57" w:rsidRPr="00FB5275">
        <w:t xml:space="preserve"> that both residents, park users and Councillors in both Barnet and Harrow have participated</w:t>
      </w:r>
      <w:r w:rsidR="0043330F" w:rsidRPr="00FB5275">
        <w:t>. Appendix B</w:t>
      </w:r>
      <w:r w:rsidR="002A2446" w:rsidRPr="00FB5275">
        <w:t>.</w:t>
      </w:r>
      <w:r w:rsidR="00A4657C" w:rsidRPr="00FB5275">
        <w:t xml:space="preserve"> AfSS Community &amp; Business Engagement Strategy. </w:t>
      </w:r>
      <w:r w:rsidR="0018103C" w:rsidRPr="00FB5275">
        <w:t xml:space="preserve"> </w:t>
      </w:r>
      <w:r w:rsidR="00145D17" w:rsidRPr="00FB5275">
        <w:t xml:space="preserve"> </w:t>
      </w:r>
    </w:p>
    <w:p w14:paraId="035014C8" w14:textId="77777777" w:rsidR="008D4944" w:rsidRPr="00940DB9" w:rsidRDefault="008D4944" w:rsidP="008D4944">
      <w:pPr>
        <w:pStyle w:val="ListParagraph"/>
        <w:widowControl w:val="0"/>
        <w:tabs>
          <w:tab w:val="left" w:pos="993"/>
        </w:tabs>
        <w:autoSpaceDE w:val="0"/>
        <w:autoSpaceDN w:val="0"/>
        <w:ind w:right="87"/>
      </w:pPr>
    </w:p>
    <w:p w14:paraId="5270BD6F" w14:textId="5CA9A6B6" w:rsidR="00A44A3D" w:rsidRPr="00940DB9" w:rsidRDefault="00103A5D" w:rsidP="00A44A3D">
      <w:pPr>
        <w:pStyle w:val="ListParagraph"/>
        <w:widowControl w:val="0"/>
        <w:tabs>
          <w:tab w:val="left" w:pos="993"/>
        </w:tabs>
        <w:autoSpaceDE w:val="0"/>
        <w:autoSpaceDN w:val="0"/>
        <w:ind w:right="87"/>
      </w:pPr>
      <w:r>
        <w:t>D</w:t>
      </w:r>
      <w:r w:rsidR="00A348ED">
        <w:t>esign, cost estimating</w:t>
      </w:r>
      <w:r w:rsidR="00AD7692">
        <w:t xml:space="preserve">, technical </w:t>
      </w:r>
      <w:r w:rsidR="00FB4790">
        <w:t xml:space="preserve">specification </w:t>
      </w:r>
      <w:r w:rsidR="002F7843">
        <w:t>is</w:t>
      </w:r>
      <w:r w:rsidR="00FB4790">
        <w:t xml:space="preserve"> nearing completion for </w:t>
      </w:r>
      <w:r>
        <w:t>the</w:t>
      </w:r>
      <w:r w:rsidR="00A348ED">
        <w:t xml:space="preserve"> first 2 </w:t>
      </w:r>
      <w:r w:rsidR="00A46AC1">
        <w:t xml:space="preserve">largest </w:t>
      </w:r>
      <w:r w:rsidR="004A102A">
        <w:t xml:space="preserve">works projects </w:t>
      </w:r>
      <w:r w:rsidR="00A44A3D">
        <w:t>at Chandos Recreation Ground</w:t>
      </w:r>
      <w:r w:rsidR="004A102A">
        <w:t xml:space="preserve"> (Harrow)</w:t>
      </w:r>
      <w:r w:rsidR="00A44A3D">
        <w:t xml:space="preserve"> and Watling Park</w:t>
      </w:r>
      <w:r w:rsidR="004A102A">
        <w:t xml:space="preserve"> (Barnet)</w:t>
      </w:r>
      <w:r w:rsidR="00A44A3D">
        <w:t xml:space="preserve"> </w:t>
      </w:r>
      <w:r w:rsidR="00A54961">
        <w:t xml:space="preserve">will be </w:t>
      </w:r>
      <w:r w:rsidR="00A44A3D">
        <w:t xml:space="preserve">ready for the construction </w:t>
      </w:r>
      <w:r w:rsidR="00A54961">
        <w:t xml:space="preserve">delivery </w:t>
      </w:r>
      <w:r w:rsidR="00A44A3D">
        <w:t>phase</w:t>
      </w:r>
      <w:r w:rsidR="00A54961">
        <w:t xml:space="preserve"> in spring 2024</w:t>
      </w:r>
      <w:r w:rsidR="00A54961" w:rsidRPr="00940DB9">
        <w:t xml:space="preserve">. </w:t>
      </w:r>
      <w:r w:rsidR="00BC6359" w:rsidRPr="00940DB9">
        <w:t>Page 4</w:t>
      </w:r>
      <w:r w:rsidR="00C824C4" w:rsidRPr="00940DB9">
        <w:t xml:space="preserve"> rows</w:t>
      </w:r>
      <w:r w:rsidR="006F0772" w:rsidRPr="00940DB9">
        <w:t xml:space="preserve"> </w:t>
      </w:r>
      <w:r w:rsidR="00C824C4" w:rsidRPr="00940DB9">
        <w:t xml:space="preserve">565-576 of </w:t>
      </w:r>
      <w:r w:rsidR="007242E6" w:rsidRPr="00940DB9">
        <w:t xml:space="preserve">Appendix </w:t>
      </w:r>
      <w:r w:rsidR="000A0D3A" w:rsidRPr="00940DB9">
        <w:t>C</w:t>
      </w:r>
      <w:r w:rsidR="002A2446" w:rsidRPr="00940DB9">
        <w:t>.</w:t>
      </w:r>
      <w:r w:rsidR="00953B26" w:rsidRPr="00940DB9">
        <w:t xml:space="preserve"> </w:t>
      </w:r>
      <w:r w:rsidR="00470109" w:rsidRPr="00940DB9">
        <w:t>AfSS Program</w:t>
      </w:r>
      <w:r w:rsidR="007242E6" w:rsidRPr="00940DB9">
        <w:t xml:space="preserve">. </w:t>
      </w:r>
    </w:p>
    <w:p w14:paraId="4171A7B0" w14:textId="77777777" w:rsidR="00915928" w:rsidRDefault="00915928" w:rsidP="00A44A3D">
      <w:pPr>
        <w:pStyle w:val="ListParagraph"/>
        <w:widowControl w:val="0"/>
        <w:tabs>
          <w:tab w:val="left" w:pos="993"/>
        </w:tabs>
        <w:autoSpaceDE w:val="0"/>
        <w:autoSpaceDN w:val="0"/>
        <w:ind w:right="87"/>
      </w:pPr>
    </w:p>
    <w:p w14:paraId="403855C0" w14:textId="02F56838" w:rsidR="006B307C" w:rsidRDefault="006B307C" w:rsidP="00A44A3D">
      <w:pPr>
        <w:pStyle w:val="ListParagraph"/>
        <w:widowControl w:val="0"/>
        <w:tabs>
          <w:tab w:val="left" w:pos="993"/>
        </w:tabs>
        <w:autoSpaceDE w:val="0"/>
        <w:autoSpaceDN w:val="0"/>
        <w:ind w:right="87"/>
      </w:pPr>
      <w:r>
        <w:t xml:space="preserve">Works will include </w:t>
      </w:r>
      <w:r w:rsidR="00292933">
        <w:t>modifying the rivers to</w:t>
      </w:r>
      <w:r w:rsidR="00B01083">
        <w:t xml:space="preserve"> improve flood storage</w:t>
      </w:r>
      <w:r w:rsidR="00145A4A">
        <w:t xml:space="preserve">, </w:t>
      </w:r>
      <w:r w:rsidR="00FA6B77">
        <w:t>moving and reshaping rivers to a more sinuous shape as opposed to their existing straight canalise form</w:t>
      </w:r>
      <w:r w:rsidR="00145A4A">
        <w:t xml:space="preserve"> to naturalise </w:t>
      </w:r>
      <w:r w:rsidR="00916752">
        <w:t xml:space="preserve">to better manage dry weather and flood flow </w:t>
      </w:r>
      <w:r w:rsidR="00145A4A">
        <w:t xml:space="preserve">conveyancing </w:t>
      </w:r>
      <w:r w:rsidR="00916752">
        <w:t>which will also improve water</w:t>
      </w:r>
      <w:r w:rsidR="00B01083">
        <w:t xml:space="preserve"> quality, habitat for wildlife</w:t>
      </w:r>
      <w:r w:rsidR="00C903E7">
        <w:t xml:space="preserve">, bank and channel erosion protection, access for community </w:t>
      </w:r>
      <w:r w:rsidR="00AC1F91">
        <w:t xml:space="preserve">water related </w:t>
      </w:r>
      <w:r w:rsidR="00915928">
        <w:t xml:space="preserve">educational </w:t>
      </w:r>
      <w:r w:rsidR="00C903E7">
        <w:t>activities</w:t>
      </w:r>
      <w:r w:rsidR="00915928">
        <w:t xml:space="preserve">. </w:t>
      </w:r>
      <w:r w:rsidR="00AC1F91">
        <w:t xml:space="preserve"> </w:t>
      </w:r>
    </w:p>
    <w:p w14:paraId="00E14686" w14:textId="77777777" w:rsidR="00A44A3D" w:rsidRDefault="00A44A3D" w:rsidP="00103A5D">
      <w:pPr>
        <w:pStyle w:val="ListParagraph"/>
        <w:widowControl w:val="0"/>
        <w:tabs>
          <w:tab w:val="left" w:pos="993"/>
        </w:tabs>
        <w:autoSpaceDE w:val="0"/>
        <w:autoSpaceDN w:val="0"/>
        <w:ind w:right="87"/>
      </w:pPr>
    </w:p>
    <w:p w14:paraId="118F27BF" w14:textId="274326BC" w:rsidR="000D6ECF" w:rsidRPr="002C699C" w:rsidRDefault="00A37AD2" w:rsidP="002C699C">
      <w:pPr>
        <w:pStyle w:val="ListParagraph"/>
        <w:widowControl w:val="0"/>
        <w:tabs>
          <w:tab w:val="left" w:pos="993"/>
        </w:tabs>
        <w:autoSpaceDE w:val="0"/>
        <w:autoSpaceDN w:val="0"/>
        <w:ind w:right="87"/>
      </w:pPr>
      <w:r>
        <w:t xml:space="preserve">Following a long list </w:t>
      </w:r>
      <w:r w:rsidR="00EB151F">
        <w:t>exercise was undertaken to identify all opportunities</w:t>
      </w:r>
      <w:r w:rsidR="001476B6">
        <w:t xml:space="preserve"> </w:t>
      </w:r>
      <w:r w:rsidR="00F5236E">
        <w:t xml:space="preserve">within the catchment to meet the overall objectives of the project. </w:t>
      </w:r>
      <w:r w:rsidR="002C699C">
        <w:t xml:space="preserve">The schemes </w:t>
      </w:r>
      <w:r w:rsidR="00D007CC">
        <w:t>of planned catchment interventions are set out in</w:t>
      </w:r>
      <w:r w:rsidR="001E1828">
        <w:t>.</w:t>
      </w:r>
      <w:r w:rsidR="00E069A7">
        <w:t xml:space="preserve"> </w:t>
      </w:r>
      <w:r w:rsidR="005366A3" w:rsidRPr="00940DB9">
        <w:t>T</w:t>
      </w:r>
      <w:r w:rsidR="00E069A7" w:rsidRPr="00940DB9">
        <w:t>able E</w:t>
      </w:r>
      <w:r w:rsidR="00BC2BED" w:rsidRPr="00940DB9">
        <w:t xml:space="preserve"> </w:t>
      </w:r>
      <w:r w:rsidR="001E1828" w:rsidRPr="00940DB9">
        <w:t>P</w:t>
      </w:r>
      <w:r w:rsidR="00344F01" w:rsidRPr="00940DB9">
        <w:t>age 3</w:t>
      </w:r>
      <w:r w:rsidR="00543E65" w:rsidRPr="00940DB9">
        <w:t>3-39</w:t>
      </w:r>
      <w:r w:rsidR="00344F01" w:rsidRPr="00940DB9">
        <w:t xml:space="preserve"> of </w:t>
      </w:r>
      <w:r w:rsidR="00BC2BED" w:rsidRPr="00940DB9">
        <w:t xml:space="preserve">Appendix </w:t>
      </w:r>
      <w:r w:rsidR="00132C82" w:rsidRPr="00940DB9">
        <w:t>A</w:t>
      </w:r>
      <w:r w:rsidR="002A2446" w:rsidRPr="00940DB9">
        <w:t>.</w:t>
      </w:r>
      <w:r w:rsidR="00076C7F" w:rsidRPr="00940DB9">
        <w:t xml:space="preserve"> Outline Business Case</w:t>
      </w:r>
      <w:r w:rsidR="00BC2BED" w:rsidRPr="002C699C">
        <w:rPr>
          <w:color w:val="00B050"/>
        </w:rPr>
        <w:t>.</w:t>
      </w:r>
    </w:p>
    <w:p w14:paraId="185E94EA" w14:textId="77777777" w:rsidR="009B0CEC" w:rsidRDefault="009B0CEC" w:rsidP="005F6B9A">
      <w:pPr>
        <w:pStyle w:val="BodyText"/>
        <w:spacing w:before="1"/>
      </w:pPr>
    </w:p>
    <w:p w14:paraId="2FDB6923" w14:textId="06677919" w:rsidR="00057D53" w:rsidRPr="00AE0884" w:rsidRDefault="00243249" w:rsidP="0063103F">
      <w:pPr>
        <w:pStyle w:val="ListParagraph"/>
        <w:widowControl w:val="0"/>
        <w:numPr>
          <w:ilvl w:val="1"/>
          <w:numId w:val="48"/>
        </w:numPr>
        <w:tabs>
          <w:tab w:val="left" w:pos="993"/>
        </w:tabs>
        <w:autoSpaceDE w:val="0"/>
        <w:autoSpaceDN w:val="0"/>
        <w:ind w:left="720" w:right="87" w:hanging="720"/>
      </w:pPr>
      <w:r>
        <w:t xml:space="preserve">A further </w:t>
      </w:r>
      <w:r w:rsidR="00457C3A">
        <w:t xml:space="preserve">successful </w:t>
      </w:r>
      <w:r w:rsidR="0042363B">
        <w:t xml:space="preserve">2 year </w:t>
      </w:r>
      <w:r>
        <w:t xml:space="preserve">grant application </w:t>
      </w:r>
      <w:r w:rsidR="00457C3A">
        <w:t xml:space="preserve">of £600k </w:t>
      </w:r>
      <w:r>
        <w:t xml:space="preserve">was made </w:t>
      </w:r>
      <w:r w:rsidR="00790888">
        <w:t xml:space="preserve">to the GLA Green Resilient </w:t>
      </w:r>
      <w:r w:rsidR="00715A27">
        <w:t xml:space="preserve">Spaces </w:t>
      </w:r>
      <w:r w:rsidR="00790888">
        <w:t xml:space="preserve">Fund </w:t>
      </w:r>
      <w:hyperlink r:id="rId17" w:history="1">
        <w:r w:rsidR="00457C3A">
          <w:rPr>
            <w:rStyle w:val="Hyperlink"/>
          </w:rPr>
          <w:t xml:space="preserve">Green and Resilient Spaces Fund </w:t>
        </w:r>
        <w:r w:rsidR="00057D53">
          <w:rPr>
            <w:rStyle w:val="Hyperlink"/>
          </w:rPr>
          <w:t>–</w:t>
        </w:r>
        <w:r w:rsidR="00457C3A">
          <w:rPr>
            <w:rStyle w:val="Hyperlink"/>
          </w:rPr>
          <w:t xml:space="preserve"> Round Two | London City Hall</w:t>
        </w:r>
      </w:hyperlink>
      <w:r w:rsidR="00457C3A">
        <w:t xml:space="preserve"> for </w:t>
      </w:r>
      <w:r w:rsidR="00953531">
        <w:t xml:space="preserve">Chandos Recreation Ground </w:t>
      </w:r>
      <w:r w:rsidR="00A05A16">
        <w:t>and Watling Park</w:t>
      </w:r>
      <w:r w:rsidR="00B81E5F">
        <w:t xml:space="preserve"> to deliver wider park infrastructure improvements</w:t>
      </w:r>
      <w:r w:rsidR="0042363B">
        <w:t xml:space="preserve">. </w:t>
      </w:r>
      <w:r w:rsidR="0042363B" w:rsidRPr="00940DB9">
        <w:t xml:space="preserve">Appendix </w:t>
      </w:r>
      <w:r w:rsidR="000A0D3A" w:rsidRPr="00940DB9">
        <w:t>D</w:t>
      </w:r>
      <w:r w:rsidR="008132E4" w:rsidRPr="00940DB9">
        <w:t>.</w:t>
      </w:r>
      <w:r w:rsidR="00917C5E" w:rsidRPr="00940DB9">
        <w:t xml:space="preserve"> </w:t>
      </w:r>
      <w:r w:rsidR="00E71F2C" w:rsidRPr="00940DB9">
        <w:t>DEFRA</w:t>
      </w:r>
      <w:r w:rsidR="00A47B80" w:rsidRPr="00940DB9">
        <w:t xml:space="preserve"> &amp; </w:t>
      </w:r>
      <w:r w:rsidR="00F924DD" w:rsidRPr="00940DB9">
        <w:t xml:space="preserve">GLA Funded </w:t>
      </w:r>
      <w:r w:rsidR="00E71F2C" w:rsidRPr="00940DB9">
        <w:t>A</w:t>
      </w:r>
      <w:r w:rsidR="00F924DD" w:rsidRPr="00940DB9">
        <w:t>reas</w:t>
      </w:r>
      <w:r w:rsidR="00E71F2C" w:rsidRPr="00940DB9">
        <w:t xml:space="preserve"> </w:t>
      </w:r>
    </w:p>
    <w:p w14:paraId="3C3F9B74" w14:textId="77777777" w:rsidR="00AE0884" w:rsidRDefault="00AE0884" w:rsidP="00AE0884">
      <w:pPr>
        <w:pStyle w:val="ListParagraph"/>
        <w:widowControl w:val="0"/>
        <w:tabs>
          <w:tab w:val="left" w:pos="993"/>
        </w:tabs>
        <w:autoSpaceDE w:val="0"/>
        <w:autoSpaceDN w:val="0"/>
        <w:ind w:right="87"/>
      </w:pPr>
    </w:p>
    <w:p w14:paraId="0F5D2C06" w14:textId="02E32CB7" w:rsidR="00057D53" w:rsidRDefault="00853039" w:rsidP="00207988">
      <w:pPr>
        <w:pStyle w:val="ListParagraph"/>
        <w:widowControl w:val="0"/>
        <w:numPr>
          <w:ilvl w:val="1"/>
          <w:numId w:val="48"/>
        </w:numPr>
        <w:tabs>
          <w:tab w:val="left" w:pos="993"/>
        </w:tabs>
        <w:autoSpaceDE w:val="0"/>
        <w:autoSpaceDN w:val="0"/>
        <w:ind w:left="720" w:right="87" w:hanging="720"/>
      </w:pPr>
      <w:r>
        <w:t>Communities</w:t>
      </w:r>
      <w:r w:rsidR="00924AA1">
        <w:t>, park users</w:t>
      </w:r>
      <w:r w:rsidR="004839F5">
        <w:t xml:space="preserve"> </w:t>
      </w:r>
      <w:r w:rsidR="004839F5" w:rsidRPr="004126B2">
        <w:t xml:space="preserve">and </w:t>
      </w:r>
      <w:r w:rsidR="004126B2" w:rsidRPr="004126B2">
        <w:t xml:space="preserve">the </w:t>
      </w:r>
      <w:r w:rsidR="004126B2">
        <w:t>Highways Infrastructure</w:t>
      </w:r>
      <w:r w:rsidR="00107532">
        <w:t xml:space="preserve"> and Community Safety </w:t>
      </w:r>
      <w:r w:rsidR="00B55ED6">
        <w:t>Port</w:t>
      </w:r>
      <w:r w:rsidR="00107532">
        <w:t xml:space="preserve">folio Holder and </w:t>
      </w:r>
      <w:r w:rsidR="004839F5">
        <w:t>Ward Councillors</w:t>
      </w:r>
      <w:r>
        <w:t xml:space="preserve"> in Barnet and Harrow have been involved </w:t>
      </w:r>
      <w:r w:rsidR="00D003DC">
        <w:t xml:space="preserve">in engagement activities </w:t>
      </w:r>
      <w:r>
        <w:t>through</w:t>
      </w:r>
      <w:r w:rsidR="00B81E5F">
        <w:t>out the project development phase</w:t>
      </w:r>
      <w:r>
        <w:t xml:space="preserve"> </w:t>
      </w:r>
      <w:r w:rsidR="007400C5">
        <w:t xml:space="preserve">including consultation and </w:t>
      </w:r>
      <w:r w:rsidR="00541ADD">
        <w:t xml:space="preserve">co design workshops. </w:t>
      </w:r>
    </w:p>
    <w:p w14:paraId="1E2BDE6F" w14:textId="77777777" w:rsidR="00107532" w:rsidRDefault="00107532" w:rsidP="00107532">
      <w:pPr>
        <w:pStyle w:val="ListParagraph"/>
        <w:widowControl w:val="0"/>
        <w:tabs>
          <w:tab w:val="left" w:pos="993"/>
        </w:tabs>
        <w:autoSpaceDE w:val="0"/>
        <w:autoSpaceDN w:val="0"/>
        <w:ind w:right="87"/>
      </w:pPr>
    </w:p>
    <w:p w14:paraId="000AE5C3" w14:textId="27EA4B2E" w:rsidR="00107532" w:rsidRDefault="00107532" w:rsidP="00107532">
      <w:pPr>
        <w:pStyle w:val="ListParagraph"/>
        <w:widowControl w:val="0"/>
        <w:numPr>
          <w:ilvl w:val="1"/>
          <w:numId w:val="48"/>
        </w:numPr>
        <w:tabs>
          <w:tab w:val="left" w:pos="993"/>
        </w:tabs>
        <w:autoSpaceDE w:val="0"/>
        <w:autoSpaceDN w:val="0"/>
        <w:ind w:left="720" w:right="87" w:hanging="720"/>
      </w:pPr>
      <w:r>
        <w:t xml:space="preserve">An Executive Board led by LB Barnet is in place for the </w:t>
      </w:r>
      <w:r w:rsidR="00F57E94">
        <w:t>6-year</w:t>
      </w:r>
      <w:r w:rsidR="0042363B">
        <w:t xml:space="preserve"> </w:t>
      </w:r>
      <w:r>
        <w:t xml:space="preserve">term of the </w:t>
      </w:r>
      <w:r w:rsidR="0042363B">
        <w:t xml:space="preserve">AfSS </w:t>
      </w:r>
      <w:r>
        <w:t>project with quarterly meetings and monthly operational and project team meetings.</w:t>
      </w:r>
    </w:p>
    <w:p w14:paraId="3CAB69C7" w14:textId="77777777" w:rsidR="008D0B93" w:rsidRDefault="008D0B93" w:rsidP="008D0B93">
      <w:pPr>
        <w:widowControl w:val="0"/>
        <w:tabs>
          <w:tab w:val="left" w:pos="993"/>
        </w:tabs>
        <w:autoSpaceDE w:val="0"/>
        <w:autoSpaceDN w:val="0"/>
        <w:ind w:right="87"/>
      </w:pPr>
    </w:p>
    <w:p w14:paraId="331F021B" w14:textId="77777777" w:rsidR="008D0B93" w:rsidRDefault="008D0B93" w:rsidP="008D0B93">
      <w:pPr>
        <w:widowControl w:val="0"/>
        <w:tabs>
          <w:tab w:val="left" w:pos="993"/>
        </w:tabs>
        <w:autoSpaceDE w:val="0"/>
        <w:autoSpaceDN w:val="0"/>
        <w:ind w:right="87"/>
      </w:pPr>
    </w:p>
    <w:p w14:paraId="757BB31B" w14:textId="77777777" w:rsidR="008D0B93" w:rsidRDefault="008D0B93" w:rsidP="008D0B93">
      <w:pPr>
        <w:widowControl w:val="0"/>
        <w:tabs>
          <w:tab w:val="left" w:pos="993"/>
        </w:tabs>
        <w:autoSpaceDE w:val="0"/>
        <w:autoSpaceDN w:val="0"/>
        <w:ind w:right="87"/>
      </w:pPr>
    </w:p>
    <w:p w14:paraId="16670A9A" w14:textId="77777777" w:rsidR="008D0B93" w:rsidRDefault="008D0B93" w:rsidP="008D0B93">
      <w:pPr>
        <w:widowControl w:val="0"/>
        <w:tabs>
          <w:tab w:val="left" w:pos="993"/>
        </w:tabs>
        <w:autoSpaceDE w:val="0"/>
        <w:autoSpaceDN w:val="0"/>
        <w:ind w:right="87"/>
      </w:pPr>
    </w:p>
    <w:p w14:paraId="660EC47B" w14:textId="77777777" w:rsidR="008D0B93" w:rsidRDefault="008D0B93" w:rsidP="008D0B93">
      <w:pPr>
        <w:widowControl w:val="0"/>
        <w:tabs>
          <w:tab w:val="left" w:pos="993"/>
        </w:tabs>
        <w:autoSpaceDE w:val="0"/>
        <w:autoSpaceDN w:val="0"/>
        <w:ind w:right="87"/>
      </w:pPr>
    </w:p>
    <w:p w14:paraId="631D1CF0" w14:textId="77777777" w:rsidR="008D0B93" w:rsidRDefault="008D0B93" w:rsidP="008D0B93">
      <w:pPr>
        <w:widowControl w:val="0"/>
        <w:tabs>
          <w:tab w:val="left" w:pos="993"/>
        </w:tabs>
        <w:autoSpaceDE w:val="0"/>
        <w:autoSpaceDN w:val="0"/>
        <w:ind w:right="87"/>
      </w:pPr>
    </w:p>
    <w:p w14:paraId="71EBBDF5" w14:textId="77777777" w:rsidR="008D0B93" w:rsidRDefault="008D0B93" w:rsidP="008D0B93">
      <w:pPr>
        <w:widowControl w:val="0"/>
        <w:tabs>
          <w:tab w:val="left" w:pos="993"/>
        </w:tabs>
        <w:autoSpaceDE w:val="0"/>
        <w:autoSpaceDN w:val="0"/>
        <w:ind w:right="87"/>
      </w:pPr>
    </w:p>
    <w:p w14:paraId="4FAA8EBF" w14:textId="5A2EB77E" w:rsidR="00B17904" w:rsidRDefault="00B17904" w:rsidP="00B17904">
      <w:pPr>
        <w:pStyle w:val="Heading3"/>
        <w:spacing w:before="240"/>
        <w:ind w:left="0" w:firstLine="0"/>
        <w:jc w:val="left"/>
      </w:pPr>
      <w:r>
        <w:lastRenderedPageBreak/>
        <w:t xml:space="preserve">Options </w:t>
      </w:r>
      <w:r w:rsidR="00075270">
        <w:t>considered</w:t>
      </w:r>
      <w:r>
        <w:t xml:space="preserve"> </w:t>
      </w:r>
    </w:p>
    <w:p w14:paraId="7670F268" w14:textId="77777777" w:rsidR="0015269C" w:rsidRDefault="0015269C" w:rsidP="0015269C"/>
    <w:p w14:paraId="20784A67" w14:textId="2CFF7ECE" w:rsidR="0015269C" w:rsidRPr="00DB348F" w:rsidRDefault="000D542C" w:rsidP="00DB348F">
      <w:pPr>
        <w:pStyle w:val="ListParagraph"/>
        <w:numPr>
          <w:ilvl w:val="1"/>
          <w:numId w:val="48"/>
        </w:numPr>
        <w:rPr>
          <w:b/>
          <w:bCs/>
        </w:rPr>
      </w:pPr>
      <w:r w:rsidRPr="00DB348F">
        <w:rPr>
          <w:b/>
          <w:bCs/>
        </w:rPr>
        <w:t>The following options were considered:</w:t>
      </w:r>
    </w:p>
    <w:p w14:paraId="52BE40CC" w14:textId="77777777" w:rsidR="00B17904" w:rsidRDefault="00B17904" w:rsidP="00690908">
      <w:pPr>
        <w:widowControl w:val="0"/>
        <w:tabs>
          <w:tab w:val="left" w:pos="960"/>
          <w:tab w:val="left" w:pos="961"/>
        </w:tabs>
        <w:autoSpaceDE w:val="0"/>
        <w:autoSpaceDN w:val="0"/>
        <w:spacing w:before="2"/>
        <w:ind w:right="87"/>
        <w:rPr>
          <w:b/>
          <w:bCs/>
        </w:rPr>
      </w:pPr>
    </w:p>
    <w:p w14:paraId="0FEF45E0" w14:textId="3A61C207" w:rsidR="00740D45" w:rsidRDefault="00E11D8F" w:rsidP="00690908">
      <w:pPr>
        <w:widowControl w:val="0"/>
        <w:tabs>
          <w:tab w:val="left" w:pos="960"/>
          <w:tab w:val="left" w:pos="961"/>
        </w:tabs>
        <w:autoSpaceDE w:val="0"/>
        <w:autoSpaceDN w:val="0"/>
        <w:spacing w:before="2"/>
        <w:ind w:right="87"/>
      </w:pPr>
      <w:r w:rsidRPr="00690908">
        <w:rPr>
          <w:b/>
          <w:bCs/>
        </w:rPr>
        <w:t>Option</w:t>
      </w:r>
      <w:r w:rsidR="0019725A">
        <w:rPr>
          <w:b/>
          <w:bCs/>
        </w:rPr>
        <w:t xml:space="preserve"> 1</w:t>
      </w:r>
      <w:r w:rsidR="0015269C">
        <w:rPr>
          <w:b/>
          <w:bCs/>
        </w:rPr>
        <w:t xml:space="preserve">: </w:t>
      </w:r>
      <w:r>
        <w:t xml:space="preserve"> </w:t>
      </w:r>
      <w:r w:rsidR="00CB7017">
        <w:t>The London Borough of Harrow to conduct an O</w:t>
      </w:r>
      <w:r w:rsidR="00740D45">
        <w:t xml:space="preserve">pen tender </w:t>
      </w:r>
      <w:r w:rsidR="00CB7017">
        <w:t>process.</w:t>
      </w:r>
    </w:p>
    <w:p w14:paraId="23E692CB" w14:textId="77777777" w:rsidR="00740D45" w:rsidRDefault="00740D45" w:rsidP="00690908">
      <w:pPr>
        <w:widowControl w:val="0"/>
        <w:tabs>
          <w:tab w:val="left" w:pos="960"/>
          <w:tab w:val="left" w:pos="961"/>
        </w:tabs>
        <w:autoSpaceDE w:val="0"/>
        <w:autoSpaceDN w:val="0"/>
        <w:spacing w:before="2"/>
        <w:ind w:right="87"/>
      </w:pPr>
    </w:p>
    <w:p w14:paraId="0946D0CE" w14:textId="0CE302F6" w:rsidR="00803F0E" w:rsidRDefault="00740D45" w:rsidP="00690908">
      <w:pPr>
        <w:widowControl w:val="0"/>
        <w:tabs>
          <w:tab w:val="left" w:pos="960"/>
          <w:tab w:val="left" w:pos="961"/>
        </w:tabs>
        <w:autoSpaceDE w:val="0"/>
        <w:autoSpaceDN w:val="0"/>
        <w:spacing w:before="2"/>
        <w:ind w:right="87"/>
      </w:pPr>
      <w:r w:rsidRPr="00DE222A">
        <w:rPr>
          <w:b/>
          <w:bCs/>
        </w:rPr>
        <w:t>Option 2:</w:t>
      </w:r>
      <w:r>
        <w:t xml:space="preserve"> </w:t>
      </w:r>
      <w:r w:rsidR="00507572">
        <w:t xml:space="preserve">is the preferred </w:t>
      </w:r>
      <w:r w:rsidR="00957CB0">
        <w:t>option for a j</w:t>
      </w:r>
      <w:r w:rsidR="00CB7017">
        <w:t xml:space="preserve">oint </w:t>
      </w:r>
      <w:r w:rsidR="00957CB0">
        <w:t>p</w:t>
      </w:r>
      <w:r w:rsidR="00803F0E">
        <w:t>rocurement</w:t>
      </w:r>
      <w:r w:rsidR="00423680">
        <w:t xml:space="preserve"> exercise</w:t>
      </w:r>
      <w:r w:rsidR="00803F0E">
        <w:t xml:space="preserve"> </w:t>
      </w:r>
      <w:r w:rsidR="00AB7703">
        <w:t xml:space="preserve">through My Tenders and Contract Finders </w:t>
      </w:r>
      <w:r w:rsidR="00CB7017">
        <w:t xml:space="preserve">facilitated </w:t>
      </w:r>
      <w:r w:rsidR="00B23D14">
        <w:t xml:space="preserve">by </w:t>
      </w:r>
      <w:r w:rsidR="00CB7017">
        <w:t xml:space="preserve">The London Borough of </w:t>
      </w:r>
      <w:r w:rsidR="00B23D14">
        <w:t>Barnet</w:t>
      </w:r>
      <w:r w:rsidR="00CB7017">
        <w:t xml:space="preserve"> </w:t>
      </w:r>
      <w:r w:rsidR="00827E98">
        <w:t xml:space="preserve">and </w:t>
      </w:r>
      <w:r w:rsidR="00CB7017">
        <w:t>on behalf of the London Borough of Harrow</w:t>
      </w:r>
      <w:r w:rsidR="002C3445">
        <w:t>. The tender will be a</w:t>
      </w:r>
      <w:r w:rsidR="00AB7703">
        <w:t xml:space="preserve">dvertised </w:t>
      </w:r>
      <w:r w:rsidR="002C4012">
        <w:t xml:space="preserve">through their procurement portal </w:t>
      </w:r>
      <w:hyperlink r:id="rId18" w:history="1">
        <w:r w:rsidR="002C4012" w:rsidRPr="002C4012">
          <w:rPr>
            <w:rStyle w:val="Hyperlink"/>
            <w:rFonts w:cs="Arial"/>
          </w:rPr>
          <w:t>www.barnetsourcing.co.uk</w:t>
        </w:r>
      </w:hyperlink>
      <w:r w:rsidR="002C4012">
        <w:rPr>
          <w:rFonts w:ascii="Calibri Light" w:hAnsi="Calibri Light" w:cs="Calibri Light"/>
          <w:color w:val="0000CC"/>
        </w:rPr>
        <w:t xml:space="preserve"> </w:t>
      </w:r>
      <w:r w:rsidR="00957CB0">
        <w:t xml:space="preserve">as </w:t>
      </w:r>
      <w:r w:rsidR="00CB7017">
        <w:t xml:space="preserve">it </w:t>
      </w:r>
      <w:r w:rsidR="000A38E3">
        <w:t xml:space="preserve">will enable both </w:t>
      </w:r>
      <w:r w:rsidR="00803F0E">
        <w:t>Council</w:t>
      </w:r>
      <w:r w:rsidR="000A38E3">
        <w:t>s</w:t>
      </w:r>
      <w:r w:rsidR="00803F0E">
        <w:t xml:space="preserve"> the opportunity to </w:t>
      </w:r>
      <w:r w:rsidR="000A38E3">
        <w:t xml:space="preserve">cooperate </w:t>
      </w:r>
      <w:r w:rsidR="008D1141">
        <w:t xml:space="preserve">in one procurement </w:t>
      </w:r>
      <w:r w:rsidR="000A38E3">
        <w:t xml:space="preserve">and </w:t>
      </w:r>
      <w:r w:rsidR="00803F0E">
        <w:t>set out its</w:t>
      </w:r>
      <w:r w:rsidR="00803F0E" w:rsidRPr="00E11D8F">
        <w:rPr>
          <w:spacing w:val="1"/>
        </w:rPr>
        <w:t xml:space="preserve"> </w:t>
      </w:r>
      <w:r w:rsidR="00075270">
        <w:rPr>
          <w:spacing w:val="1"/>
        </w:rPr>
        <w:t xml:space="preserve">own </w:t>
      </w:r>
      <w:r w:rsidR="00803F0E">
        <w:t>specific requirements and an evaluation mechanism that will provide</w:t>
      </w:r>
      <w:r w:rsidR="00803F0E" w:rsidRPr="00E11D8F">
        <w:rPr>
          <w:spacing w:val="1"/>
        </w:rPr>
        <w:t xml:space="preserve"> </w:t>
      </w:r>
      <w:r w:rsidR="00803F0E">
        <w:t>the</w:t>
      </w:r>
      <w:r w:rsidR="00803F0E" w:rsidRPr="00E11D8F">
        <w:rPr>
          <w:spacing w:val="-3"/>
        </w:rPr>
        <w:t xml:space="preserve"> </w:t>
      </w:r>
      <w:r w:rsidR="00803F0E">
        <w:t>maximum</w:t>
      </w:r>
      <w:r w:rsidR="00803F0E" w:rsidRPr="00E11D8F">
        <w:rPr>
          <w:spacing w:val="1"/>
        </w:rPr>
        <w:t xml:space="preserve"> </w:t>
      </w:r>
      <w:r w:rsidR="00803F0E">
        <w:t>opportunity</w:t>
      </w:r>
      <w:r w:rsidR="00803F0E" w:rsidRPr="00E11D8F">
        <w:rPr>
          <w:spacing w:val="-3"/>
        </w:rPr>
        <w:t xml:space="preserve"> </w:t>
      </w:r>
      <w:r w:rsidR="00CA37D7">
        <w:t>for a best value contract.</w:t>
      </w:r>
    </w:p>
    <w:p w14:paraId="7AA5D530" w14:textId="77777777" w:rsidR="00307F76" w:rsidRDefault="00307F76" w:rsidP="00690908">
      <w:pPr>
        <w:spacing w:before="240"/>
        <w:ind w:right="87"/>
        <w:rPr>
          <w:b/>
          <w:szCs w:val="24"/>
        </w:rPr>
      </w:pPr>
      <w:r w:rsidRPr="00F06E4E">
        <w:rPr>
          <w:b/>
          <w:szCs w:val="24"/>
        </w:rPr>
        <w:t xml:space="preserve">Ward Councillors’ comments </w:t>
      </w:r>
    </w:p>
    <w:p w14:paraId="723A86A9" w14:textId="6DC697EB" w:rsidR="003B302F" w:rsidRDefault="00075270" w:rsidP="00690908">
      <w:pPr>
        <w:spacing w:before="240"/>
        <w:ind w:right="87"/>
        <w:rPr>
          <w:bCs/>
          <w:szCs w:val="24"/>
        </w:rPr>
      </w:pPr>
      <w:r>
        <w:rPr>
          <w:bCs/>
          <w:szCs w:val="24"/>
        </w:rPr>
        <w:t>None</w:t>
      </w:r>
      <w:r w:rsidR="004338B9">
        <w:rPr>
          <w:bCs/>
          <w:szCs w:val="24"/>
        </w:rPr>
        <w:t xml:space="preserve"> </w:t>
      </w:r>
      <w:r w:rsidR="0029185B">
        <w:rPr>
          <w:bCs/>
          <w:szCs w:val="24"/>
        </w:rPr>
        <w:t>as it will impact all Wards</w:t>
      </w:r>
    </w:p>
    <w:p w14:paraId="75284416" w14:textId="1002A45A" w:rsidR="00A81E19" w:rsidRDefault="00A81E19" w:rsidP="00690908">
      <w:pPr>
        <w:pStyle w:val="Heading3"/>
        <w:spacing w:before="480" w:after="240"/>
        <w:ind w:right="87"/>
      </w:pPr>
      <w:r>
        <w:t>Risk Management Implications</w:t>
      </w:r>
    </w:p>
    <w:p w14:paraId="64B11716" w14:textId="0CA03C5B" w:rsidR="00FE20D4" w:rsidRPr="007E6664" w:rsidRDefault="00FE20D4" w:rsidP="00690908">
      <w:pPr>
        <w:pStyle w:val="BodyText"/>
        <w:ind w:right="87"/>
        <w:rPr>
          <w:i w:val="0"/>
          <w:iCs w:val="0"/>
        </w:rPr>
      </w:pPr>
      <w:bookmarkStart w:id="0" w:name="_Hlk60923477"/>
      <w:bookmarkStart w:id="1" w:name="_Hlk60922991"/>
      <w:bookmarkStart w:id="2" w:name="_Hlk60923939"/>
      <w:r w:rsidRPr="007E6664">
        <w:rPr>
          <w:i w:val="0"/>
          <w:iCs w:val="0"/>
        </w:rPr>
        <w:t>The risk associated with this procurement is mainly financial and relates to the</w:t>
      </w:r>
      <w:r w:rsidRPr="007E6664">
        <w:rPr>
          <w:i w:val="0"/>
          <w:iCs w:val="0"/>
          <w:spacing w:val="-64"/>
        </w:rPr>
        <w:t xml:space="preserve"> </w:t>
      </w:r>
      <w:r w:rsidR="00423680">
        <w:rPr>
          <w:i w:val="0"/>
          <w:iCs w:val="0"/>
          <w:spacing w:val="-64"/>
        </w:rPr>
        <w:t xml:space="preserve"> </w:t>
      </w:r>
      <w:r w:rsidR="00DE02EA">
        <w:rPr>
          <w:i w:val="0"/>
          <w:iCs w:val="0"/>
          <w:spacing w:val="-64"/>
        </w:rPr>
        <w:t xml:space="preserve"> </w:t>
      </w:r>
      <w:r w:rsidRPr="007E6664">
        <w:rPr>
          <w:i w:val="0"/>
          <w:iCs w:val="0"/>
        </w:rPr>
        <w:t>Council being unable to find suitable affordable proposals. This risk will be</w:t>
      </w:r>
      <w:r w:rsidRPr="007E6664">
        <w:rPr>
          <w:i w:val="0"/>
          <w:iCs w:val="0"/>
          <w:spacing w:val="1"/>
        </w:rPr>
        <w:t xml:space="preserve"> </w:t>
      </w:r>
      <w:r w:rsidRPr="007E6664">
        <w:rPr>
          <w:i w:val="0"/>
          <w:iCs w:val="0"/>
        </w:rPr>
        <w:t>managed in the procurement process via an evaluation mechanism that</w:t>
      </w:r>
      <w:r w:rsidRPr="007E6664">
        <w:rPr>
          <w:i w:val="0"/>
          <w:iCs w:val="0"/>
          <w:spacing w:val="1"/>
        </w:rPr>
        <w:t xml:space="preserve"> </w:t>
      </w:r>
      <w:r w:rsidRPr="007E6664">
        <w:rPr>
          <w:i w:val="0"/>
          <w:iCs w:val="0"/>
        </w:rPr>
        <w:t>provides</w:t>
      </w:r>
      <w:r w:rsidRPr="007E6664">
        <w:rPr>
          <w:i w:val="0"/>
          <w:iCs w:val="0"/>
          <w:spacing w:val="-1"/>
        </w:rPr>
        <w:t xml:space="preserve"> </w:t>
      </w:r>
      <w:r w:rsidRPr="007E6664">
        <w:rPr>
          <w:i w:val="0"/>
          <w:iCs w:val="0"/>
        </w:rPr>
        <w:t>the</w:t>
      </w:r>
      <w:r w:rsidRPr="007E6664">
        <w:rPr>
          <w:i w:val="0"/>
          <w:iCs w:val="0"/>
          <w:spacing w:val="-2"/>
        </w:rPr>
        <w:t xml:space="preserve"> </w:t>
      </w:r>
      <w:r w:rsidRPr="007E6664">
        <w:rPr>
          <w:i w:val="0"/>
          <w:iCs w:val="0"/>
        </w:rPr>
        <w:t>balance</w:t>
      </w:r>
      <w:r w:rsidRPr="007E6664">
        <w:rPr>
          <w:i w:val="0"/>
          <w:iCs w:val="0"/>
          <w:spacing w:val="-2"/>
        </w:rPr>
        <w:t xml:space="preserve"> </w:t>
      </w:r>
      <w:r w:rsidRPr="007E6664">
        <w:rPr>
          <w:i w:val="0"/>
          <w:iCs w:val="0"/>
        </w:rPr>
        <w:t>between</w:t>
      </w:r>
      <w:r w:rsidRPr="007E6664">
        <w:rPr>
          <w:i w:val="0"/>
          <w:iCs w:val="0"/>
          <w:spacing w:val="-1"/>
        </w:rPr>
        <w:t xml:space="preserve"> </w:t>
      </w:r>
      <w:r w:rsidRPr="007E6664">
        <w:rPr>
          <w:i w:val="0"/>
          <w:iCs w:val="0"/>
        </w:rPr>
        <w:t>price</w:t>
      </w:r>
      <w:r w:rsidRPr="007E6664">
        <w:rPr>
          <w:i w:val="0"/>
          <w:iCs w:val="0"/>
          <w:spacing w:val="-2"/>
        </w:rPr>
        <w:t xml:space="preserve"> </w:t>
      </w:r>
      <w:r w:rsidRPr="007E6664">
        <w:rPr>
          <w:i w:val="0"/>
          <w:iCs w:val="0"/>
        </w:rPr>
        <w:t>and</w:t>
      </w:r>
      <w:r w:rsidRPr="007E6664">
        <w:rPr>
          <w:i w:val="0"/>
          <w:iCs w:val="0"/>
          <w:spacing w:val="-2"/>
        </w:rPr>
        <w:t xml:space="preserve"> </w:t>
      </w:r>
      <w:r w:rsidRPr="007E6664">
        <w:rPr>
          <w:i w:val="0"/>
          <w:iCs w:val="0"/>
        </w:rPr>
        <w:t>quality.</w:t>
      </w:r>
    </w:p>
    <w:p w14:paraId="78CF90F0" w14:textId="77777777" w:rsidR="00FE20D4" w:rsidRPr="007E6664" w:rsidRDefault="00FE20D4" w:rsidP="00FE20D4">
      <w:pPr>
        <w:pStyle w:val="BodyText"/>
        <w:rPr>
          <w:i w:val="0"/>
          <w:iCs w:val="0"/>
        </w:rPr>
      </w:pPr>
    </w:p>
    <w:p w14:paraId="4C22019F" w14:textId="79D056E7" w:rsidR="009F1ABA" w:rsidRPr="00690908" w:rsidRDefault="00FE20D4" w:rsidP="00690908">
      <w:pPr>
        <w:pStyle w:val="BodyText"/>
        <w:ind w:right="87"/>
        <w:rPr>
          <w:i w:val="0"/>
          <w:iCs w:val="0"/>
        </w:rPr>
      </w:pPr>
      <w:r w:rsidRPr="007E6664">
        <w:rPr>
          <w:i w:val="0"/>
          <w:iCs w:val="0"/>
        </w:rPr>
        <w:t>Risk included on Directorate risk register?</w:t>
      </w:r>
      <w:r w:rsidR="00A80A1D">
        <w:rPr>
          <w:i w:val="0"/>
          <w:iCs w:val="0"/>
        </w:rPr>
        <w:t xml:space="preserve"> </w:t>
      </w:r>
      <w:r w:rsidR="009F1ABA" w:rsidRPr="00690908">
        <w:rPr>
          <w:i w:val="0"/>
          <w:iCs w:val="0"/>
        </w:rPr>
        <w:t>No</w:t>
      </w:r>
    </w:p>
    <w:p w14:paraId="4DF8413F" w14:textId="133B70C1" w:rsidR="00FE20D4" w:rsidRPr="007E6664" w:rsidRDefault="00FE20D4" w:rsidP="00690908">
      <w:pPr>
        <w:pStyle w:val="BodyText"/>
        <w:ind w:right="87"/>
        <w:rPr>
          <w:i w:val="0"/>
          <w:iCs w:val="0"/>
        </w:rPr>
      </w:pPr>
      <w:r w:rsidRPr="007E6664">
        <w:rPr>
          <w:i w:val="0"/>
          <w:iCs w:val="0"/>
        </w:rPr>
        <w:t>Separate risk</w:t>
      </w:r>
      <w:r w:rsidRPr="00690908">
        <w:rPr>
          <w:i w:val="0"/>
          <w:iCs w:val="0"/>
        </w:rPr>
        <w:t xml:space="preserve"> </w:t>
      </w:r>
      <w:r w:rsidRPr="007E6664">
        <w:rPr>
          <w:i w:val="0"/>
          <w:iCs w:val="0"/>
        </w:rPr>
        <w:t>register in</w:t>
      </w:r>
      <w:r w:rsidRPr="00690908">
        <w:rPr>
          <w:i w:val="0"/>
          <w:iCs w:val="0"/>
        </w:rPr>
        <w:t xml:space="preserve"> </w:t>
      </w:r>
      <w:r w:rsidRPr="007E6664">
        <w:rPr>
          <w:i w:val="0"/>
          <w:iCs w:val="0"/>
        </w:rPr>
        <w:t xml:space="preserve">place? </w:t>
      </w:r>
      <w:r w:rsidR="00B138FF">
        <w:rPr>
          <w:i w:val="0"/>
          <w:iCs w:val="0"/>
        </w:rPr>
        <w:t xml:space="preserve">Yes </w:t>
      </w:r>
    </w:p>
    <w:p w14:paraId="6B386E45" w14:textId="77777777" w:rsidR="004F65C5" w:rsidRDefault="004F65C5" w:rsidP="00105B8A">
      <w:pPr>
        <w:tabs>
          <w:tab w:val="left" w:pos="5610"/>
        </w:tabs>
        <w:ind w:right="81"/>
      </w:pPr>
    </w:p>
    <w:p w14:paraId="2E054B04" w14:textId="119C7B62" w:rsidR="00C53F1A" w:rsidRDefault="00C53F1A" w:rsidP="00105B8A">
      <w:pPr>
        <w:tabs>
          <w:tab w:val="left" w:pos="5610"/>
        </w:tabs>
        <w:ind w:right="81"/>
      </w:pPr>
      <w:r>
        <w:t>The relevant risks contained in the register are attached/summarised below</w:t>
      </w:r>
      <w:r w:rsidR="00953E6B">
        <w:t xml:space="preserve"> </w:t>
      </w:r>
      <w:r>
        <w:t xml:space="preserve"> </w:t>
      </w:r>
      <w:r w:rsidR="00953E6B">
        <w:rPr>
          <w:rFonts w:cs="Arial"/>
          <w:szCs w:val="24"/>
          <w:lang w:val="en-US" w:eastAsia="en-GB"/>
        </w:rPr>
        <w:t>a</w:t>
      </w:r>
      <w:r w:rsidR="008C0306" w:rsidRPr="0026021C">
        <w:rPr>
          <w:rFonts w:cs="Arial"/>
          <w:szCs w:val="24"/>
          <w:lang w:val="en-US" w:eastAsia="en-GB"/>
        </w:rPr>
        <w:t xml:space="preserve">nd are included in </w:t>
      </w:r>
      <w:r w:rsidR="0026021C" w:rsidRPr="0026021C">
        <w:rPr>
          <w:rFonts w:cs="Arial"/>
          <w:szCs w:val="24"/>
          <w:lang w:val="en-US" w:eastAsia="en-GB"/>
        </w:rPr>
        <w:t xml:space="preserve">Appendix A </w:t>
      </w:r>
      <w:r w:rsidR="00B96555" w:rsidRPr="0026021C">
        <w:rPr>
          <w:rFonts w:cs="Arial"/>
          <w:szCs w:val="24"/>
          <w:lang w:val="en-US" w:eastAsia="en-GB"/>
        </w:rPr>
        <w:t>section 6.6</w:t>
      </w:r>
      <w:r w:rsidR="00212CE4" w:rsidRPr="0026021C">
        <w:rPr>
          <w:rFonts w:cs="Arial"/>
          <w:szCs w:val="24"/>
          <w:lang w:val="en-US" w:eastAsia="en-GB"/>
        </w:rPr>
        <w:t xml:space="preserve"> Key Risks and Change </w:t>
      </w:r>
      <w:r w:rsidR="0026021C" w:rsidRPr="0026021C">
        <w:rPr>
          <w:rFonts w:cs="Arial"/>
          <w:szCs w:val="24"/>
          <w:lang w:val="en-US" w:eastAsia="en-GB"/>
        </w:rPr>
        <w:t>Management page</w:t>
      </w:r>
      <w:r w:rsidR="00212CE4" w:rsidRPr="0026021C">
        <w:rPr>
          <w:rFonts w:cs="Arial"/>
          <w:szCs w:val="24"/>
          <w:lang w:val="en-US" w:eastAsia="en-GB"/>
        </w:rPr>
        <w:t xml:space="preserve"> 69</w:t>
      </w:r>
      <w:r w:rsidR="0026021C" w:rsidRPr="0026021C">
        <w:rPr>
          <w:rFonts w:cs="Arial"/>
          <w:szCs w:val="24"/>
          <w:lang w:val="en-US" w:eastAsia="en-GB"/>
        </w:rPr>
        <w:t>.</w:t>
      </w:r>
    </w:p>
    <w:p w14:paraId="45AEB19F" w14:textId="77777777" w:rsidR="00105B8A" w:rsidRDefault="00105B8A" w:rsidP="00105B8A"/>
    <w:p w14:paraId="68B1512C" w14:textId="0D36A0C3" w:rsidR="00C53F1A" w:rsidRDefault="00C53F1A" w:rsidP="00105B8A">
      <w:r>
        <w:t xml:space="preserve">The following key risks should be taken </w:t>
      </w:r>
      <w:r w:rsidR="00105B8A">
        <w:t>i</w:t>
      </w:r>
      <w:r>
        <w:t>nto account when agreeing the recommendations in this report:</w:t>
      </w:r>
    </w:p>
    <w:p w14:paraId="03C20C78" w14:textId="77777777" w:rsidR="00C30977" w:rsidRDefault="00C30977" w:rsidP="00105B8A"/>
    <w:tbl>
      <w:tblPr>
        <w:tblW w:w="8501"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114"/>
        <w:gridCol w:w="3544"/>
        <w:gridCol w:w="1843"/>
      </w:tblGrid>
      <w:tr w:rsidR="00380F87" w14:paraId="1404D484" w14:textId="77777777" w:rsidTr="00D6539F">
        <w:trPr>
          <w:trHeight w:val="332"/>
          <w:tblHead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lastRenderedPageBreak/>
              <w:t>Risk Description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F31CCD" w14:paraId="71B74EA7" w14:textId="77777777" w:rsidTr="00D6539F">
        <w:trPr>
          <w:trHeight w:val="474"/>
          <w:tblHead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5F007D" w14:textId="235C956E" w:rsidR="00F31CCD" w:rsidRPr="00F31CCD" w:rsidRDefault="00F31CCD" w:rsidP="00F31CCD">
            <w:pPr>
              <w:spacing w:line="247" w:lineRule="auto"/>
              <w:ind w:right="141"/>
            </w:pPr>
            <w:r>
              <w:t>The Council is unable to find financially suitable supplier within cost estimate provided in tender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A2B04D" w14:textId="1CF504C1" w:rsidR="00F31CCD" w:rsidRPr="00F31CCD" w:rsidRDefault="00F31CCD" w:rsidP="00F31CCD">
            <w:pPr>
              <w:pStyle w:val="ListParagraph"/>
              <w:numPr>
                <w:ilvl w:val="0"/>
                <w:numId w:val="58"/>
              </w:numPr>
              <w:spacing w:line="247" w:lineRule="auto"/>
              <w:ind w:left="164" w:right="141" w:hanging="164"/>
              <w:rPr>
                <w:rFonts w:cs="Arial"/>
                <w:b/>
                <w:bCs/>
                <w:szCs w:val="24"/>
                <w:lang w:val="en-US" w:eastAsia="en-GB"/>
              </w:rPr>
            </w:pPr>
            <w:r w:rsidRPr="00F31CCD">
              <w:rPr>
                <w:lang w:val="en-US"/>
              </w:rPr>
              <w:t>Undertaking a competitive tender exercise will generate competition and deliver best in market value.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4523B3C" w14:textId="4EF73C73" w:rsidR="00F31CCD" w:rsidRDefault="00F31CCD" w:rsidP="00F31CCD">
            <w:pPr>
              <w:spacing w:line="247" w:lineRule="auto"/>
              <w:ind w:left="171" w:right="141"/>
              <w:jc w:val="center"/>
              <w:rPr>
                <w:rFonts w:cs="Arial"/>
                <w:b/>
                <w:bCs/>
                <w:szCs w:val="24"/>
                <w:lang w:val="en-US" w:eastAsia="en-GB"/>
              </w:rPr>
            </w:pPr>
            <w:r>
              <w:rPr>
                <w:rFonts w:cs="Arial"/>
                <w:b/>
                <w:bCs/>
                <w:szCs w:val="24"/>
                <w:lang w:val="en-US" w:eastAsia="en-GB"/>
              </w:rPr>
              <w:t>GREEN</w:t>
            </w:r>
          </w:p>
        </w:tc>
      </w:tr>
      <w:tr w:rsidR="00F31CCD" w14:paraId="6430ACD5" w14:textId="77777777" w:rsidTr="00D6539F">
        <w:trPr>
          <w:trHeight w:val="474"/>
          <w:tblHead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A1F466" w14:textId="77777777" w:rsidR="00F31CCD" w:rsidRDefault="00F31CCD" w:rsidP="00F31CCD">
            <w:pPr>
              <w:spacing w:line="247" w:lineRule="auto"/>
              <w:ind w:right="141"/>
              <w:rPr>
                <w:rFonts w:cs="Arial"/>
                <w:szCs w:val="24"/>
                <w:lang w:val="en-US"/>
              </w:rPr>
            </w:pPr>
            <w:r>
              <w:rPr>
                <w:rFonts w:cs="Arial"/>
                <w:szCs w:val="24"/>
                <w:lang w:val="en-US"/>
              </w:rPr>
              <w:t xml:space="preserve">Costs increase on the project due to supply and inflationary pressures   </w:t>
            </w:r>
          </w:p>
          <w:p w14:paraId="40B65D5F" w14:textId="77777777" w:rsidR="00F31CCD" w:rsidRDefault="00F31CCD" w:rsidP="00F31CCD">
            <w:pPr>
              <w:spacing w:line="247" w:lineRule="auto"/>
              <w:ind w:right="141"/>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BCB48A" w14:textId="1F82A87E" w:rsidR="00E37838" w:rsidRPr="002B6AC3" w:rsidRDefault="00F31CCD" w:rsidP="002B6AC3">
            <w:pPr>
              <w:pStyle w:val="ListParagraph"/>
              <w:numPr>
                <w:ilvl w:val="0"/>
                <w:numId w:val="46"/>
              </w:numPr>
              <w:autoSpaceDN w:val="0"/>
              <w:ind w:left="171" w:right="141" w:hanging="171"/>
              <w:rPr>
                <w:lang w:val="en-US"/>
              </w:rPr>
            </w:pPr>
            <w:r w:rsidRPr="00BF5989">
              <w:rPr>
                <w:lang w:val="en-US"/>
              </w:rPr>
              <w:t xml:space="preserve">Accurate cost estimating and use of a JCT CDP </w:t>
            </w:r>
            <w:r w:rsidR="00F47CEE">
              <w:rPr>
                <w:lang w:val="en-US"/>
              </w:rPr>
              <w:t>(</w:t>
            </w:r>
            <w:r w:rsidR="00F47CEE" w:rsidRPr="00F47CEE">
              <w:rPr>
                <w:rFonts w:cs="Arial"/>
                <w:color w:val="202124"/>
                <w:szCs w:val="24"/>
                <w:shd w:val="clear" w:color="auto" w:fill="FFFFFF"/>
              </w:rPr>
              <w:t>Joint Contracts Tribunal</w:t>
            </w:r>
            <w:r w:rsidR="00F47CEE">
              <w:rPr>
                <w:rFonts w:ascii="Calibri Light" w:hAnsi="Calibri Light" w:cs="Calibri Light"/>
                <w:b/>
                <w:bCs/>
                <w:color w:val="202124"/>
                <w:szCs w:val="24"/>
                <w:shd w:val="clear" w:color="auto" w:fill="FFFFFF"/>
              </w:rPr>
              <w:t xml:space="preserve"> </w:t>
            </w:r>
            <w:r w:rsidR="00B03B03" w:rsidRPr="00B03B03">
              <w:rPr>
                <w:rFonts w:cs="Arial"/>
                <w:szCs w:val="24"/>
              </w:rPr>
              <w:t>Contractor Designed Portion</w:t>
            </w:r>
            <w:r w:rsidR="00B03B03">
              <w:rPr>
                <w:rFonts w:cs="Arial"/>
                <w:szCs w:val="24"/>
              </w:rPr>
              <w:t xml:space="preserve">) </w:t>
            </w:r>
            <w:r w:rsidRPr="00BF5989">
              <w:rPr>
                <w:lang w:val="en-US"/>
              </w:rPr>
              <w:t>contract will enable to project team to work closely with the contractor on discreet components of the works</w:t>
            </w:r>
            <w:r w:rsidR="005C4C52">
              <w:rPr>
                <w:lang w:val="en-US"/>
              </w:rPr>
              <w:t>. H</w:t>
            </w:r>
            <w:r w:rsidRPr="00BF5989">
              <w:rPr>
                <w:lang w:val="en-US"/>
              </w:rPr>
              <w:t>owever</w:t>
            </w:r>
            <w:r w:rsidR="000B6444">
              <w:rPr>
                <w:lang w:val="en-US"/>
              </w:rPr>
              <w:t xml:space="preserve"> </w:t>
            </w:r>
            <w:r w:rsidRPr="00BF5989">
              <w:rPr>
                <w:lang w:val="en-US"/>
              </w:rPr>
              <w:t xml:space="preserve">the main responsibility will remain with the project team, </w:t>
            </w:r>
            <w:r w:rsidR="00787F01">
              <w:rPr>
                <w:lang w:val="en-US"/>
              </w:rPr>
              <w:t>the Quantity Surveyor (</w:t>
            </w:r>
            <w:r w:rsidRPr="00BF5989">
              <w:rPr>
                <w:lang w:val="en-US"/>
              </w:rPr>
              <w:t>QS</w:t>
            </w:r>
            <w:r w:rsidR="00787F01">
              <w:rPr>
                <w:lang w:val="en-US"/>
              </w:rPr>
              <w:t>)</w:t>
            </w:r>
            <w:r w:rsidRPr="00BF5989">
              <w:rPr>
                <w:lang w:val="en-US"/>
              </w:rPr>
              <w:t xml:space="preserve"> and contract administrator to control costs </w:t>
            </w:r>
          </w:p>
          <w:p w14:paraId="633AF97F" w14:textId="77777777" w:rsidR="00E37838" w:rsidRPr="00C30977" w:rsidRDefault="00E37838" w:rsidP="00E37838">
            <w:pPr>
              <w:pStyle w:val="ListParagraph"/>
              <w:numPr>
                <w:ilvl w:val="0"/>
                <w:numId w:val="58"/>
              </w:numPr>
              <w:spacing w:line="247" w:lineRule="auto"/>
              <w:ind w:left="164" w:right="141" w:hanging="164"/>
              <w:rPr>
                <w:szCs w:val="24"/>
                <w:lang w:val="en-US"/>
              </w:rPr>
            </w:pPr>
            <w:r w:rsidRPr="00E37838">
              <w:rPr>
                <w:szCs w:val="24"/>
              </w:rPr>
              <w:t>Any increase in project costs will be met by Defra</w:t>
            </w:r>
          </w:p>
          <w:p w14:paraId="2F28DDC7" w14:textId="44BB5F11" w:rsidR="00C30977" w:rsidRPr="00C30977" w:rsidRDefault="00C30977" w:rsidP="00C30977">
            <w:pPr>
              <w:pStyle w:val="ListParagraph"/>
              <w:spacing w:line="247" w:lineRule="auto"/>
              <w:ind w:left="164" w:right="141"/>
              <w:rPr>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DD0F415" w14:textId="04C74709" w:rsidR="00F31CCD" w:rsidRDefault="002B6AC3" w:rsidP="002B6AC3">
            <w:pPr>
              <w:spacing w:line="247" w:lineRule="auto"/>
              <w:ind w:right="141"/>
              <w:jc w:val="center"/>
              <w:rPr>
                <w:rFonts w:cs="Arial"/>
                <w:b/>
                <w:bCs/>
                <w:szCs w:val="24"/>
                <w:lang w:val="en-US" w:eastAsia="en-GB"/>
              </w:rPr>
            </w:pPr>
            <w:r>
              <w:rPr>
                <w:rFonts w:cs="Arial"/>
                <w:b/>
                <w:bCs/>
                <w:szCs w:val="24"/>
                <w:lang w:val="en-US" w:eastAsia="en-GB"/>
              </w:rPr>
              <w:t>GREEN</w:t>
            </w:r>
          </w:p>
        </w:tc>
      </w:tr>
      <w:tr w:rsidR="002E574F" w14:paraId="6E438FBB" w14:textId="77777777" w:rsidTr="00D6539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0ADF1B" w14:textId="4607DC99" w:rsidR="002E574F" w:rsidRDefault="00F31CCD" w:rsidP="0050194F">
            <w:pPr>
              <w:spacing w:line="247" w:lineRule="auto"/>
              <w:ind w:right="141"/>
            </w:pPr>
            <w:r>
              <w:rPr>
                <w:rFonts w:cs="Arial"/>
                <w:szCs w:val="24"/>
                <w:lang w:val="en-US"/>
              </w:rPr>
              <w:t>The project fails to deliver c</w:t>
            </w:r>
            <w:r w:rsidR="00BF5989">
              <w:rPr>
                <w:rFonts w:cs="Arial"/>
                <w:szCs w:val="24"/>
                <w:lang w:val="en-US"/>
              </w:rPr>
              <w:t xml:space="preserve">ustomer </w:t>
            </w:r>
            <w:r>
              <w:rPr>
                <w:rFonts w:cs="Arial"/>
                <w:szCs w:val="24"/>
                <w:lang w:val="en-US"/>
              </w:rPr>
              <w:t xml:space="preserve">and resident </w:t>
            </w:r>
            <w:r w:rsidR="00BF5989">
              <w:rPr>
                <w:rFonts w:cs="Arial"/>
                <w:szCs w:val="24"/>
                <w:lang w:val="en-US"/>
              </w:rPr>
              <w:t>satisfaction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A3D46A" w14:textId="095ED26F" w:rsidR="00BF5989" w:rsidRPr="00BF5989" w:rsidRDefault="00BF5989" w:rsidP="00BF5989">
            <w:pPr>
              <w:pStyle w:val="ListParagraph"/>
              <w:numPr>
                <w:ilvl w:val="0"/>
                <w:numId w:val="46"/>
              </w:numPr>
              <w:autoSpaceDN w:val="0"/>
              <w:ind w:left="171" w:right="141" w:hanging="171"/>
              <w:rPr>
                <w:lang w:val="en-US"/>
              </w:rPr>
            </w:pPr>
            <w:r w:rsidRPr="00BF5989">
              <w:rPr>
                <w:lang w:val="en-US"/>
              </w:rPr>
              <w:t>Community engagement has been delivered throughout the first 3 years of the project and will continue throughout the following 3 years of the 6</w:t>
            </w:r>
            <w:r w:rsidR="00F31CCD">
              <w:rPr>
                <w:lang w:val="en-US"/>
              </w:rPr>
              <w:t>-</w:t>
            </w:r>
            <w:r w:rsidRPr="00BF5989">
              <w:rPr>
                <w:lang w:val="en-US"/>
              </w:rPr>
              <w:t xml:space="preserve">year project to ensure it delivers for the community </w:t>
            </w:r>
          </w:p>
          <w:p w14:paraId="1F1DD937" w14:textId="3933F652" w:rsidR="00BF5989" w:rsidRPr="00BF5989" w:rsidRDefault="00BF5989" w:rsidP="00BF5989">
            <w:pPr>
              <w:autoSpaceDN w:val="0"/>
              <w:ind w:right="141"/>
              <w:rPr>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722D49E" w14:textId="3789424C" w:rsidR="002E574F" w:rsidRPr="00F31CCD" w:rsidRDefault="00F31CCD" w:rsidP="00F31CCD">
            <w:pPr>
              <w:spacing w:line="247" w:lineRule="auto"/>
              <w:ind w:left="171" w:right="141"/>
              <w:jc w:val="center"/>
              <w:rPr>
                <w:rFonts w:cs="Arial"/>
                <w:b/>
                <w:bCs/>
                <w:szCs w:val="24"/>
                <w:lang w:val="en-US" w:eastAsia="en-GB"/>
              </w:rPr>
            </w:pPr>
            <w:r w:rsidRPr="00F31CCD">
              <w:rPr>
                <w:rFonts w:cs="Arial"/>
                <w:b/>
                <w:bCs/>
                <w:szCs w:val="24"/>
                <w:lang w:val="en-US" w:eastAsia="en-GB"/>
              </w:rPr>
              <w:t>GREEN</w:t>
            </w:r>
          </w:p>
        </w:tc>
      </w:tr>
    </w:tbl>
    <w:bookmarkEnd w:id="1"/>
    <w:bookmarkEnd w:id="2"/>
    <w:p w14:paraId="0249BBDB" w14:textId="02A38157" w:rsidR="002A3FEF" w:rsidRDefault="002A3FEF" w:rsidP="00A1211C">
      <w:pPr>
        <w:pStyle w:val="Heading3"/>
        <w:spacing w:before="480" w:after="240"/>
      </w:pPr>
      <w:r>
        <w:t>Procurement Implications</w:t>
      </w:r>
    </w:p>
    <w:p w14:paraId="321B92C4" w14:textId="4E10CD99" w:rsidR="0012686D" w:rsidRDefault="00AD369D" w:rsidP="0012686D">
      <w:r w:rsidRPr="00AD369D">
        <w:t xml:space="preserve">It is proposed that </w:t>
      </w:r>
      <w:r w:rsidR="0012686D">
        <w:t xml:space="preserve">the best way forward is for </w:t>
      </w:r>
      <w:r w:rsidR="00A31C26">
        <w:t xml:space="preserve">the </w:t>
      </w:r>
      <w:r w:rsidRPr="00AD369D">
        <w:t xml:space="preserve">London Borough of Barnet </w:t>
      </w:r>
      <w:r w:rsidR="0012686D">
        <w:t xml:space="preserve">to facilitate </w:t>
      </w:r>
      <w:r w:rsidR="00A31C26">
        <w:t>a joint procurement as detailed in Section 2.7.</w:t>
      </w:r>
    </w:p>
    <w:p w14:paraId="66DA27FE" w14:textId="1C3FA711" w:rsidR="0012686D" w:rsidRDefault="0012686D" w:rsidP="0012686D"/>
    <w:p w14:paraId="10B90CC5" w14:textId="7EF2D575" w:rsidR="0012686D" w:rsidRDefault="00A31C26" w:rsidP="0012686D">
      <w:r>
        <w:t xml:space="preserve">A </w:t>
      </w:r>
      <w:r w:rsidR="0012686D">
        <w:t xml:space="preserve">joint procurement </w:t>
      </w:r>
      <w:r w:rsidR="00E977FD">
        <w:t xml:space="preserve">with </w:t>
      </w:r>
      <w:r w:rsidR="008C4CF4">
        <w:t xml:space="preserve">the </w:t>
      </w:r>
      <w:r w:rsidR="008C4CF4" w:rsidRPr="008C4CF4">
        <w:t xml:space="preserve">London Borough of Barnet </w:t>
      </w:r>
      <w:r w:rsidR="002B088D">
        <w:t xml:space="preserve">will be more efficient by </w:t>
      </w:r>
      <w:r w:rsidR="0012686D">
        <w:t>reduc</w:t>
      </w:r>
      <w:r w:rsidR="002B088D">
        <w:t>ing</w:t>
      </w:r>
      <w:r w:rsidR="0012686D">
        <w:t xml:space="preserve"> time </w:t>
      </w:r>
      <w:r w:rsidR="00A12437">
        <w:t xml:space="preserve">and costs </w:t>
      </w:r>
      <w:r w:rsidR="00D1616A">
        <w:t xml:space="preserve">and provide continuity </w:t>
      </w:r>
      <w:r w:rsidR="007F7582">
        <w:t>in delivery for the wider catchment outcomes</w:t>
      </w:r>
      <w:r w:rsidR="002A45C8">
        <w:t xml:space="preserve"> </w:t>
      </w:r>
      <w:r w:rsidR="009D607A">
        <w:t>as opposed to</w:t>
      </w:r>
      <w:r w:rsidR="0012686D">
        <w:t xml:space="preserve"> two separate procurements</w:t>
      </w:r>
      <w:r w:rsidR="008E4E8E">
        <w:t>. This approach</w:t>
      </w:r>
      <w:r w:rsidR="00BB2DC2">
        <w:t xml:space="preserve"> will </w:t>
      </w:r>
      <w:r w:rsidR="008E4E8E">
        <w:t xml:space="preserve">also </w:t>
      </w:r>
      <w:r w:rsidR="00BB2DC2">
        <w:t>reduce</w:t>
      </w:r>
      <w:r w:rsidR="004F6124">
        <w:t xml:space="preserve"> time and costs for bidders</w:t>
      </w:r>
      <w:r w:rsidR="0005395B">
        <w:t xml:space="preserve"> which </w:t>
      </w:r>
      <w:r w:rsidR="00E977FD">
        <w:t>is</w:t>
      </w:r>
      <w:r w:rsidR="0005395B">
        <w:t xml:space="preserve"> expected to be reflected in the pricing</w:t>
      </w:r>
      <w:r w:rsidR="004F6124">
        <w:t xml:space="preserve">. </w:t>
      </w:r>
      <w:r w:rsidR="0018386F">
        <w:t xml:space="preserve">The intention is </w:t>
      </w:r>
      <w:r w:rsidR="004505AC">
        <w:t xml:space="preserve">to </w:t>
      </w:r>
      <w:r w:rsidR="00225F88">
        <w:t>tender two Lots and</w:t>
      </w:r>
      <w:r w:rsidR="0018386F">
        <w:t xml:space="preserve"> award one</w:t>
      </w:r>
      <w:r w:rsidR="00870A16">
        <w:t xml:space="preserve"> </w:t>
      </w:r>
      <w:r w:rsidR="005D2E8E">
        <w:t>contract</w:t>
      </w:r>
      <w:r w:rsidR="0018386F">
        <w:t xml:space="preserve"> per Lot </w:t>
      </w:r>
      <w:r w:rsidR="008C4CF4">
        <w:t>with the relevant Authority.</w:t>
      </w:r>
    </w:p>
    <w:p w14:paraId="4D372B47" w14:textId="399816B6" w:rsidR="008E4E8E" w:rsidRDefault="008E4E8E" w:rsidP="0012686D"/>
    <w:p w14:paraId="1AAC0B87" w14:textId="19FFC4C2" w:rsidR="008E4E8E" w:rsidRPr="00E44463" w:rsidRDefault="008E4E8E" w:rsidP="0012686D">
      <w:pPr>
        <w:rPr>
          <w:b/>
          <w:bCs/>
        </w:rPr>
      </w:pPr>
      <w:r w:rsidRPr="00E44463">
        <w:rPr>
          <w:b/>
          <w:bCs/>
        </w:rPr>
        <w:t>Lots:</w:t>
      </w:r>
    </w:p>
    <w:p w14:paraId="042C0E6A" w14:textId="77777777" w:rsidR="008E4E8E" w:rsidRDefault="008E4E8E" w:rsidP="0012686D"/>
    <w:p w14:paraId="297FACAE" w14:textId="6A4B1B8F" w:rsidR="0012686D" w:rsidRDefault="0012686D" w:rsidP="005561F9">
      <w:pPr>
        <w:pStyle w:val="ListParagraph"/>
        <w:numPr>
          <w:ilvl w:val="0"/>
          <w:numId w:val="56"/>
        </w:numPr>
      </w:pPr>
      <w:r>
        <w:t xml:space="preserve">Lot 1 </w:t>
      </w:r>
      <w:r w:rsidR="000A5EA2" w:rsidRPr="000A5EA2">
        <w:t>Watling Park (Barnet)</w:t>
      </w:r>
    </w:p>
    <w:p w14:paraId="22105486" w14:textId="5E6D2CD1" w:rsidR="0012686D" w:rsidRDefault="0012686D" w:rsidP="005561F9">
      <w:pPr>
        <w:pStyle w:val="ListParagraph"/>
        <w:numPr>
          <w:ilvl w:val="0"/>
          <w:numId w:val="56"/>
        </w:numPr>
      </w:pPr>
      <w:r>
        <w:t xml:space="preserve">Lot 2 </w:t>
      </w:r>
      <w:r w:rsidR="000A5EA2" w:rsidRPr="000A5EA2">
        <w:t>Chandos Recreation Ground (Harrow)</w:t>
      </w:r>
    </w:p>
    <w:p w14:paraId="18601329" w14:textId="77777777" w:rsidR="0005395B" w:rsidRDefault="0005395B" w:rsidP="0012686D"/>
    <w:p w14:paraId="7D569BB6" w14:textId="1D5D2F09" w:rsidR="0005395B" w:rsidRDefault="008E4E8E" w:rsidP="0012686D">
      <w:r>
        <w:t>Organisations</w:t>
      </w:r>
      <w:r w:rsidR="0005395B">
        <w:t xml:space="preserve"> will be able to </w:t>
      </w:r>
      <w:r w:rsidR="000E5788">
        <w:t>tender for both projects</w:t>
      </w:r>
      <w:r w:rsidR="00CB0BA6">
        <w:t xml:space="preserve"> as a </w:t>
      </w:r>
      <w:r w:rsidR="004505AC">
        <w:t xml:space="preserve">single or </w:t>
      </w:r>
      <w:r w:rsidR="00CB0BA6">
        <w:t>joint award</w:t>
      </w:r>
      <w:r w:rsidR="000E5788">
        <w:t xml:space="preserve"> on the understanding that both Chandos </w:t>
      </w:r>
      <w:r w:rsidR="000E5788" w:rsidRPr="00740D45">
        <w:t>Recreation Ground</w:t>
      </w:r>
      <w:r w:rsidR="000E5788">
        <w:t xml:space="preserve"> and Watling Park must </w:t>
      </w:r>
      <w:r w:rsidR="001E0B90">
        <w:t xml:space="preserve">commence and </w:t>
      </w:r>
      <w:r w:rsidR="000E5788">
        <w:t>be delivered at the same time</w:t>
      </w:r>
      <w:r w:rsidR="001E0B90">
        <w:t>.</w:t>
      </w:r>
    </w:p>
    <w:p w14:paraId="51CED419" w14:textId="33A81A77" w:rsidR="001E0B90" w:rsidRDefault="001E0B90" w:rsidP="0012686D"/>
    <w:p w14:paraId="0739076D" w14:textId="4885E27F" w:rsidR="003D3C74" w:rsidRDefault="008E4E8E" w:rsidP="0012686D">
      <w:r>
        <w:t xml:space="preserve">The Tender documents </w:t>
      </w:r>
      <w:r w:rsidR="00425DE5">
        <w:t xml:space="preserve">will </w:t>
      </w:r>
      <w:r w:rsidR="00CB0BA6">
        <w:t xml:space="preserve">also </w:t>
      </w:r>
      <w:r w:rsidR="00425DE5">
        <w:t>reserve the right to</w:t>
      </w:r>
      <w:r w:rsidR="00B9785F">
        <w:t xml:space="preserve"> not award both Lots to a single bidder and defer to the second placed bidder should </w:t>
      </w:r>
      <w:r w:rsidR="001B2186">
        <w:t xml:space="preserve">a robust delivery plan </w:t>
      </w:r>
      <w:r w:rsidR="00282F19">
        <w:t xml:space="preserve">and program </w:t>
      </w:r>
      <w:r w:rsidR="001B2186">
        <w:t xml:space="preserve">not be provided by </w:t>
      </w:r>
      <w:r w:rsidR="003E08CC">
        <w:t xml:space="preserve">a single winning bidder during the evaluation. </w:t>
      </w:r>
    </w:p>
    <w:p w14:paraId="5489EC25" w14:textId="77777777" w:rsidR="0012686D" w:rsidRDefault="0012686D" w:rsidP="004F65C5"/>
    <w:p w14:paraId="246F0A32" w14:textId="2453AEE3" w:rsidR="00CA5C60" w:rsidRDefault="000A6168" w:rsidP="00225F88">
      <w:r w:rsidRPr="000A6168">
        <w:t xml:space="preserve">The </w:t>
      </w:r>
      <w:r w:rsidR="00A06992">
        <w:t xml:space="preserve">estimated contract value is </w:t>
      </w:r>
      <w:r w:rsidR="00CB0BA6">
        <w:t>below</w:t>
      </w:r>
      <w:r w:rsidR="00A06992">
        <w:t xml:space="preserve"> the</w:t>
      </w:r>
      <w:r w:rsidRPr="000A6168">
        <w:t xml:space="preserve"> Public Contract Regulations </w:t>
      </w:r>
      <w:r w:rsidR="00A06992">
        <w:t>2015</w:t>
      </w:r>
      <w:r w:rsidR="008E4E8E">
        <w:t xml:space="preserve"> threshold for works</w:t>
      </w:r>
      <w:r w:rsidR="007D6D78">
        <w:t>.</w:t>
      </w:r>
      <w:r w:rsidR="00DA28A7">
        <w:t xml:space="preserve"> </w:t>
      </w:r>
      <w:r w:rsidR="00CB0BA6">
        <w:t>A</w:t>
      </w:r>
      <w:r w:rsidR="00CA5C60">
        <w:t xml:space="preserve">s such the </w:t>
      </w:r>
      <w:r w:rsidR="00CB0BA6">
        <w:t>Procurement</w:t>
      </w:r>
      <w:r w:rsidR="00A06992">
        <w:t xml:space="preserve"> will be conducted</w:t>
      </w:r>
      <w:r w:rsidR="00CA5C60">
        <w:t xml:space="preserve"> </w:t>
      </w:r>
      <w:r w:rsidR="00E977FD">
        <w:t xml:space="preserve">by </w:t>
      </w:r>
      <w:r w:rsidR="00E977FD" w:rsidRPr="00E977FD">
        <w:t xml:space="preserve">London Borough of Barnet </w:t>
      </w:r>
      <w:r w:rsidR="00CA5C60">
        <w:t xml:space="preserve">as a </w:t>
      </w:r>
      <w:r w:rsidR="00EA22CD">
        <w:t>compliant</w:t>
      </w:r>
      <w:r w:rsidR="00CA5C60">
        <w:t xml:space="preserve"> process</w:t>
      </w:r>
      <w:r w:rsidR="003C03E9">
        <w:t xml:space="preserve"> consistent </w:t>
      </w:r>
      <w:r w:rsidR="00CA5C60">
        <w:t>with</w:t>
      </w:r>
      <w:r w:rsidR="003C03E9">
        <w:t xml:space="preserve"> the</w:t>
      </w:r>
      <w:r w:rsidR="00CA5C60">
        <w:t xml:space="preserve"> Councils</w:t>
      </w:r>
      <w:r w:rsidR="00A06992">
        <w:t xml:space="preserve"> Contracts Procedure Rules (CPR’s)</w:t>
      </w:r>
      <w:r w:rsidR="003C03E9">
        <w:t xml:space="preserve">. </w:t>
      </w:r>
      <w:r w:rsidR="00364B62" w:rsidRPr="00364B62">
        <w:t>The award of the contract is also subject to the Council’s own Standing Orders in respect of high value contracts and Financial Regulations. As a result, Cabinet approval will be required to delegate authority for the award of the contract.</w:t>
      </w:r>
    </w:p>
    <w:p w14:paraId="342ACE92" w14:textId="41CC4292" w:rsidR="00740D45" w:rsidRDefault="00740D45" w:rsidP="004F65C5"/>
    <w:p w14:paraId="3BF0B68E" w14:textId="778C6BFD" w:rsidR="00740D45" w:rsidRDefault="00057D53" w:rsidP="00740D45">
      <w:r>
        <w:t>The tender documents are currently being developed by The London B</w:t>
      </w:r>
      <w:r w:rsidR="00E60302">
        <w:t>orough</w:t>
      </w:r>
      <w:r>
        <w:t xml:space="preserve"> of Barnet and will be finalised up </w:t>
      </w:r>
      <w:r w:rsidR="004505AC">
        <w:t xml:space="preserve">until </w:t>
      </w:r>
      <w:r>
        <w:t>to the date of publication. It is therefore requested for d</w:t>
      </w:r>
      <w:r w:rsidRPr="00057D53">
        <w:t>elegate</w:t>
      </w:r>
      <w:r w:rsidR="00735E37">
        <w:t>d</w:t>
      </w:r>
      <w:r w:rsidRPr="00057D53">
        <w:t xml:space="preserve"> authority to the Corporate Director for Place, following consultation with the Portfolio Holders for Environment and Community Safety and Finance and Human Resources to approve and make any changes required to the tender </w:t>
      </w:r>
      <w:r w:rsidR="00E81973">
        <w:t>criteria or specification</w:t>
      </w:r>
      <w:r w:rsidRPr="00057D53">
        <w:t>.</w:t>
      </w:r>
    </w:p>
    <w:p w14:paraId="3D9D6799" w14:textId="3EF98316" w:rsidR="00CA5C60" w:rsidRDefault="00CA5C60" w:rsidP="004F65C5"/>
    <w:p w14:paraId="6B17218A" w14:textId="4BDE01CE" w:rsidR="000A6168" w:rsidRDefault="00E971AB" w:rsidP="00690908">
      <w:r w:rsidRPr="000A6168">
        <w:t>The</w:t>
      </w:r>
      <w:r w:rsidR="003C31FF">
        <w:t xml:space="preserve"> proposed</w:t>
      </w:r>
      <w:r>
        <w:t xml:space="preserve"> </w:t>
      </w:r>
      <w:r w:rsidRPr="000A6168">
        <w:t>high</w:t>
      </w:r>
      <w:r w:rsidR="007C5DBF" w:rsidRPr="000A6168">
        <w:t>-level</w:t>
      </w:r>
      <w:r w:rsidR="000A6168" w:rsidRPr="000A6168">
        <w:t xml:space="preserve"> evaluation</w:t>
      </w:r>
      <w:r w:rsidR="000A6168" w:rsidRPr="00690908">
        <w:t xml:space="preserve"> </w:t>
      </w:r>
      <w:r w:rsidR="000A6168" w:rsidRPr="000A6168">
        <w:t xml:space="preserve">criteria </w:t>
      </w:r>
      <w:r w:rsidR="003C03E9">
        <w:t xml:space="preserve">for this procurement </w:t>
      </w:r>
      <w:r w:rsidR="003C31FF">
        <w:t>are</w:t>
      </w:r>
      <w:r w:rsidR="0012686D">
        <w:t xml:space="preserve"> weighte</w:t>
      </w:r>
      <w:r w:rsidR="003C31FF">
        <w:t>d at</w:t>
      </w:r>
      <w:r w:rsidR="003C03E9">
        <w:t xml:space="preserve"> </w:t>
      </w:r>
      <w:r w:rsidR="00850D57">
        <w:t>40</w:t>
      </w:r>
      <w:r w:rsidR="003C03E9" w:rsidRPr="00121E33">
        <w:t xml:space="preserve">% </w:t>
      </w:r>
      <w:r w:rsidR="000A6168" w:rsidRPr="00121E33">
        <w:t>price</w:t>
      </w:r>
      <w:r w:rsidR="0012686D" w:rsidRPr="00121E33">
        <w:t xml:space="preserve">, </w:t>
      </w:r>
      <w:r w:rsidR="00850D57">
        <w:t>50</w:t>
      </w:r>
      <w:r w:rsidR="00D53A85" w:rsidRPr="00121E33">
        <w:t xml:space="preserve">% quality </w:t>
      </w:r>
      <w:r w:rsidR="00D53A85">
        <w:t xml:space="preserve">and </w:t>
      </w:r>
      <w:r w:rsidR="0012686D" w:rsidRPr="00121E33">
        <w:t>10% Social Valu</w:t>
      </w:r>
      <w:r w:rsidR="00D53A85">
        <w:t>e</w:t>
      </w:r>
      <w:r w:rsidR="003C03E9" w:rsidRPr="00121E33">
        <w:t>.</w:t>
      </w:r>
      <w:r w:rsidR="000A6168" w:rsidRPr="000A6168">
        <w:t xml:space="preserve"> </w:t>
      </w:r>
    </w:p>
    <w:p w14:paraId="1EF81288" w14:textId="2DE7F8D4" w:rsidR="006030BC" w:rsidRDefault="006030BC" w:rsidP="00690908"/>
    <w:p w14:paraId="085A8A6C" w14:textId="77777777" w:rsidR="005F4F99" w:rsidRDefault="005F4F99" w:rsidP="005561F9">
      <w:pPr>
        <w:rPr>
          <w:rFonts w:eastAsia="Arial" w:cs="Arial"/>
        </w:rPr>
      </w:pPr>
      <w:r w:rsidRPr="005F4F99">
        <w:rPr>
          <w:rFonts w:eastAsia="Arial" w:cs="Arial"/>
        </w:rPr>
        <w:t xml:space="preserve">An indicative timetable for the procurement is shown in Table 1 – Indicative Procurement Timetable below. </w:t>
      </w:r>
    </w:p>
    <w:p w14:paraId="104322F6" w14:textId="77777777" w:rsidR="001273E5" w:rsidRDefault="001273E5" w:rsidP="005561F9">
      <w:pPr>
        <w:rPr>
          <w:rFonts w:eastAsia="Arial" w:cs="Arial"/>
        </w:rPr>
      </w:pPr>
    </w:p>
    <w:p w14:paraId="147D0264" w14:textId="77777777" w:rsidR="005F4F99" w:rsidRDefault="005F4F99" w:rsidP="005F4F99">
      <w:pPr>
        <w:jc w:val="both"/>
      </w:pPr>
      <w:r w:rsidRPr="19CBBC8D">
        <w:rPr>
          <w:rFonts w:eastAsia="Arial" w:cs="Arial"/>
          <w:b/>
          <w:bCs/>
          <w:szCs w:val="24"/>
        </w:rPr>
        <w:t xml:space="preserve"> </w:t>
      </w:r>
    </w:p>
    <w:p w14:paraId="1AD16FCD" w14:textId="77777777" w:rsidR="005F4F99" w:rsidRDefault="005F4F99" w:rsidP="005F4F99">
      <w:pPr>
        <w:ind w:left="567"/>
        <w:jc w:val="both"/>
        <w:rPr>
          <w:rFonts w:eastAsia="Arial" w:cs="Arial"/>
          <w:b/>
          <w:bCs/>
        </w:rPr>
      </w:pPr>
      <w:r w:rsidRPr="72047128">
        <w:rPr>
          <w:rFonts w:eastAsia="Arial" w:cs="Arial"/>
          <w:b/>
          <w:bCs/>
        </w:rPr>
        <w:t>Table 1 – Indicative Procurement Timetable</w:t>
      </w:r>
    </w:p>
    <w:p w14:paraId="6FBACB29" w14:textId="77777777" w:rsidR="005F4F99" w:rsidRDefault="005F4F99" w:rsidP="005F4F99">
      <w:pPr>
        <w:jc w:val="both"/>
      </w:pPr>
      <w:r w:rsidRPr="19CBBC8D">
        <w:rPr>
          <w:rFonts w:eastAsia="Arial" w:cs="Arial"/>
          <w:b/>
          <w:bCs/>
          <w:szCs w:val="24"/>
        </w:rPr>
        <w:t xml:space="preserve"> </w:t>
      </w:r>
    </w:p>
    <w:tbl>
      <w:tblPr>
        <w:tblStyle w:val="TableGrid"/>
        <w:tblW w:w="8637" w:type="dxa"/>
        <w:jc w:val="center"/>
        <w:tblLayout w:type="fixed"/>
        <w:tblLook w:val="04A0" w:firstRow="1" w:lastRow="0" w:firstColumn="1" w:lastColumn="0" w:noHBand="0" w:noVBand="1"/>
      </w:tblPr>
      <w:tblGrid>
        <w:gridCol w:w="2530"/>
        <w:gridCol w:w="6107"/>
      </w:tblGrid>
      <w:tr w:rsidR="005F4F99" w14:paraId="49E3BF58"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6C10CCDE" w14:textId="77777777" w:rsidR="005F4F99" w:rsidRDefault="005F4F99" w:rsidP="00914153">
            <w:r w:rsidRPr="19CBBC8D">
              <w:rPr>
                <w:rFonts w:eastAsia="Arial" w:cs="Arial"/>
                <w:b/>
                <w:bCs/>
                <w:szCs w:val="24"/>
              </w:rPr>
              <w:t>Timing</w:t>
            </w:r>
          </w:p>
        </w:tc>
        <w:tc>
          <w:tcPr>
            <w:tcW w:w="6107" w:type="dxa"/>
            <w:tcBorders>
              <w:top w:val="single" w:sz="8" w:space="0" w:color="auto"/>
              <w:left w:val="single" w:sz="8" w:space="0" w:color="auto"/>
              <w:bottom w:val="single" w:sz="8" w:space="0" w:color="auto"/>
              <w:right w:val="single" w:sz="8" w:space="0" w:color="auto"/>
            </w:tcBorders>
          </w:tcPr>
          <w:p w14:paraId="5B904CEB" w14:textId="77777777" w:rsidR="005F4F99" w:rsidRDefault="005F4F99" w:rsidP="00914153">
            <w:r w:rsidRPr="19CBBC8D">
              <w:rPr>
                <w:rFonts w:eastAsia="Arial" w:cs="Arial"/>
                <w:b/>
                <w:bCs/>
                <w:szCs w:val="24"/>
              </w:rPr>
              <w:t>Activity</w:t>
            </w:r>
          </w:p>
        </w:tc>
      </w:tr>
      <w:tr w:rsidR="005F4F99" w14:paraId="10979EBA"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413062FE" w14:textId="73A96BF9" w:rsidR="005F4F99" w:rsidRDefault="007A3133" w:rsidP="00914153">
            <w:r>
              <w:t>0</w:t>
            </w:r>
            <w:r w:rsidR="00F437B1">
              <w:t>5</w:t>
            </w:r>
            <w:r w:rsidR="00505FBF">
              <w:t>/12/2023</w:t>
            </w:r>
          </w:p>
        </w:tc>
        <w:tc>
          <w:tcPr>
            <w:tcW w:w="6107" w:type="dxa"/>
            <w:tcBorders>
              <w:top w:val="single" w:sz="8" w:space="0" w:color="auto"/>
              <w:left w:val="single" w:sz="8" w:space="0" w:color="auto"/>
              <w:bottom w:val="single" w:sz="8" w:space="0" w:color="auto"/>
              <w:right w:val="single" w:sz="8" w:space="0" w:color="auto"/>
            </w:tcBorders>
          </w:tcPr>
          <w:p w14:paraId="785283CF" w14:textId="77777777" w:rsidR="005F4F99" w:rsidRDefault="005F4F99" w:rsidP="00914153">
            <w:r w:rsidRPr="19CBBC8D">
              <w:rPr>
                <w:rFonts w:eastAsia="Arial" w:cs="Arial"/>
                <w:szCs w:val="24"/>
              </w:rPr>
              <w:t>Cabinet Report to authorise procurement</w:t>
            </w:r>
          </w:p>
        </w:tc>
      </w:tr>
      <w:tr w:rsidR="005F4F99" w14:paraId="1B034BAE"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23B1093C" w14:textId="45D2767B" w:rsidR="005F4F99" w:rsidRDefault="00711472" w:rsidP="00914153">
            <w:r>
              <w:t>02/01/2024</w:t>
            </w:r>
          </w:p>
        </w:tc>
        <w:tc>
          <w:tcPr>
            <w:tcW w:w="6107" w:type="dxa"/>
            <w:tcBorders>
              <w:top w:val="single" w:sz="8" w:space="0" w:color="auto"/>
              <w:left w:val="single" w:sz="8" w:space="0" w:color="auto"/>
              <w:bottom w:val="single" w:sz="8" w:space="0" w:color="auto"/>
              <w:right w:val="single" w:sz="8" w:space="0" w:color="auto"/>
            </w:tcBorders>
          </w:tcPr>
          <w:p w14:paraId="59BBF718" w14:textId="77777777" w:rsidR="005F4F99" w:rsidRDefault="005F4F99" w:rsidP="00914153">
            <w:r w:rsidRPr="19CBBC8D">
              <w:rPr>
                <w:rFonts w:eastAsia="Arial" w:cs="Arial"/>
                <w:szCs w:val="24"/>
              </w:rPr>
              <w:t xml:space="preserve">Issue Invitation to Tender  </w:t>
            </w:r>
          </w:p>
        </w:tc>
      </w:tr>
      <w:tr w:rsidR="005F4F99" w14:paraId="4787C8E8"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687B24A1" w14:textId="5F8C865B" w:rsidR="005F4F99" w:rsidRDefault="00EF7C59" w:rsidP="00914153">
            <w:r>
              <w:t>26/02/2024</w:t>
            </w:r>
          </w:p>
        </w:tc>
        <w:tc>
          <w:tcPr>
            <w:tcW w:w="6107" w:type="dxa"/>
            <w:tcBorders>
              <w:top w:val="single" w:sz="8" w:space="0" w:color="auto"/>
              <w:left w:val="single" w:sz="8" w:space="0" w:color="auto"/>
              <w:bottom w:val="single" w:sz="8" w:space="0" w:color="auto"/>
              <w:right w:val="single" w:sz="8" w:space="0" w:color="auto"/>
            </w:tcBorders>
          </w:tcPr>
          <w:p w14:paraId="57392D32" w14:textId="77777777" w:rsidR="005F4F99" w:rsidRDefault="005F4F99" w:rsidP="00914153">
            <w:r w:rsidRPr="19CBBC8D">
              <w:rPr>
                <w:rFonts w:eastAsia="Arial" w:cs="Arial"/>
                <w:szCs w:val="24"/>
              </w:rPr>
              <w:t>Receive Tenders</w:t>
            </w:r>
          </w:p>
        </w:tc>
      </w:tr>
      <w:tr w:rsidR="005F4F99" w14:paraId="4A07694D"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3F333BC8" w14:textId="3A12DE34" w:rsidR="005F4F99" w:rsidRDefault="00EF7C59" w:rsidP="00914153">
            <w:r>
              <w:t>27/02/2024</w:t>
            </w:r>
          </w:p>
        </w:tc>
        <w:tc>
          <w:tcPr>
            <w:tcW w:w="6107" w:type="dxa"/>
            <w:tcBorders>
              <w:top w:val="single" w:sz="8" w:space="0" w:color="auto"/>
              <w:left w:val="single" w:sz="8" w:space="0" w:color="auto"/>
              <w:bottom w:val="single" w:sz="8" w:space="0" w:color="auto"/>
              <w:right w:val="single" w:sz="8" w:space="0" w:color="auto"/>
            </w:tcBorders>
          </w:tcPr>
          <w:p w14:paraId="2B8936C8" w14:textId="77777777" w:rsidR="005F4F99" w:rsidRDefault="005F4F99" w:rsidP="00914153">
            <w:r w:rsidRPr="19CBBC8D">
              <w:rPr>
                <w:rFonts w:eastAsia="Arial" w:cs="Arial"/>
                <w:szCs w:val="24"/>
              </w:rPr>
              <w:t>Evaluate and moderate Tenders</w:t>
            </w:r>
          </w:p>
        </w:tc>
      </w:tr>
      <w:tr w:rsidR="005F4F99" w14:paraId="0844929E"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195F963A" w14:textId="57C777EE" w:rsidR="005F4F99" w:rsidRDefault="00202CC2" w:rsidP="00914153">
            <w:r>
              <w:t>05/03/2024</w:t>
            </w:r>
          </w:p>
        </w:tc>
        <w:tc>
          <w:tcPr>
            <w:tcW w:w="6107" w:type="dxa"/>
            <w:tcBorders>
              <w:top w:val="single" w:sz="8" w:space="0" w:color="auto"/>
              <w:left w:val="single" w:sz="8" w:space="0" w:color="auto"/>
              <w:bottom w:val="single" w:sz="8" w:space="0" w:color="auto"/>
              <w:right w:val="single" w:sz="8" w:space="0" w:color="auto"/>
            </w:tcBorders>
          </w:tcPr>
          <w:p w14:paraId="0312EE17" w14:textId="77777777" w:rsidR="005F4F99" w:rsidRDefault="005F4F99" w:rsidP="00914153">
            <w:r w:rsidRPr="19CBBC8D">
              <w:rPr>
                <w:rFonts w:eastAsia="Arial" w:cs="Arial"/>
                <w:szCs w:val="24"/>
              </w:rPr>
              <w:t>Contract Award Decision</w:t>
            </w:r>
          </w:p>
        </w:tc>
      </w:tr>
      <w:tr w:rsidR="005F4F99" w14:paraId="7399421A"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49B97BF6" w14:textId="584D8855" w:rsidR="005F4F99" w:rsidRDefault="00202CC2" w:rsidP="00914153">
            <w:r>
              <w:t>12/03/2024</w:t>
            </w:r>
          </w:p>
        </w:tc>
        <w:tc>
          <w:tcPr>
            <w:tcW w:w="6107" w:type="dxa"/>
            <w:tcBorders>
              <w:top w:val="single" w:sz="8" w:space="0" w:color="auto"/>
              <w:left w:val="single" w:sz="8" w:space="0" w:color="auto"/>
              <w:bottom w:val="single" w:sz="8" w:space="0" w:color="auto"/>
              <w:right w:val="single" w:sz="8" w:space="0" w:color="auto"/>
            </w:tcBorders>
          </w:tcPr>
          <w:p w14:paraId="6BD55E8D" w14:textId="77777777" w:rsidR="005F4F99" w:rsidRDefault="005F4F99" w:rsidP="00914153">
            <w:r w:rsidRPr="19CBBC8D">
              <w:rPr>
                <w:rFonts w:eastAsia="Arial" w:cs="Arial"/>
                <w:szCs w:val="24"/>
              </w:rPr>
              <w:t>Issue notice of award and commence standstill period</w:t>
            </w:r>
          </w:p>
        </w:tc>
      </w:tr>
      <w:tr w:rsidR="005F4F99" w14:paraId="68A86A33"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5989DB73" w14:textId="2AF3FE6A" w:rsidR="005F4F99" w:rsidRDefault="00A271D7" w:rsidP="00914153">
            <w:r>
              <w:t>26/03/2024</w:t>
            </w:r>
          </w:p>
        </w:tc>
        <w:tc>
          <w:tcPr>
            <w:tcW w:w="6107" w:type="dxa"/>
            <w:tcBorders>
              <w:top w:val="single" w:sz="8" w:space="0" w:color="auto"/>
              <w:left w:val="single" w:sz="8" w:space="0" w:color="auto"/>
              <w:bottom w:val="single" w:sz="8" w:space="0" w:color="auto"/>
              <w:right w:val="single" w:sz="8" w:space="0" w:color="auto"/>
            </w:tcBorders>
          </w:tcPr>
          <w:p w14:paraId="18B4BC4C" w14:textId="77777777" w:rsidR="005F4F99" w:rsidRDefault="005F4F99" w:rsidP="00914153">
            <w:r w:rsidRPr="19CBBC8D">
              <w:rPr>
                <w:rFonts w:eastAsia="Arial" w:cs="Arial"/>
                <w:szCs w:val="24"/>
              </w:rPr>
              <w:t>Contract Mobilisation, Transition and Take-On Period</w:t>
            </w:r>
          </w:p>
        </w:tc>
      </w:tr>
      <w:tr w:rsidR="005F4F99" w14:paraId="5B541E4B" w14:textId="77777777" w:rsidTr="00235532">
        <w:trPr>
          <w:jc w:val="center"/>
        </w:trPr>
        <w:tc>
          <w:tcPr>
            <w:tcW w:w="2530" w:type="dxa"/>
            <w:tcBorders>
              <w:top w:val="single" w:sz="8" w:space="0" w:color="auto"/>
              <w:left w:val="single" w:sz="8" w:space="0" w:color="auto"/>
              <w:bottom w:val="single" w:sz="8" w:space="0" w:color="auto"/>
              <w:right w:val="single" w:sz="8" w:space="0" w:color="auto"/>
            </w:tcBorders>
          </w:tcPr>
          <w:p w14:paraId="1FFF2861" w14:textId="53062534" w:rsidR="005F4F99" w:rsidRDefault="00A271D7" w:rsidP="00914153">
            <w:r>
              <w:t>02/04/2024</w:t>
            </w:r>
          </w:p>
        </w:tc>
        <w:tc>
          <w:tcPr>
            <w:tcW w:w="6107" w:type="dxa"/>
            <w:tcBorders>
              <w:top w:val="single" w:sz="8" w:space="0" w:color="auto"/>
              <w:left w:val="single" w:sz="8" w:space="0" w:color="auto"/>
              <w:bottom w:val="single" w:sz="8" w:space="0" w:color="auto"/>
              <w:right w:val="single" w:sz="8" w:space="0" w:color="auto"/>
            </w:tcBorders>
          </w:tcPr>
          <w:p w14:paraId="1ABCE2C3" w14:textId="77777777" w:rsidR="005F4F99" w:rsidRDefault="005F4F99" w:rsidP="00914153">
            <w:r w:rsidRPr="19CBBC8D">
              <w:rPr>
                <w:rFonts w:eastAsia="Arial" w:cs="Arial"/>
                <w:szCs w:val="24"/>
              </w:rPr>
              <w:t xml:space="preserve">Contract Start Date </w:t>
            </w:r>
          </w:p>
        </w:tc>
      </w:tr>
    </w:tbl>
    <w:p w14:paraId="51BD48EB" w14:textId="24126917" w:rsidR="006030BC" w:rsidRDefault="005F4F99" w:rsidP="001273E5">
      <w:pPr>
        <w:jc w:val="both"/>
        <w:rPr>
          <w:rFonts w:eastAsia="Arial" w:cs="Arial"/>
          <w:szCs w:val="24"/>
        </w:rPr>
      </w:pPr>
      <w:r w:rsidRPr="008A5A0A">
        <w:rPr>
          <w:rFonts w:eastAsia="Arial" w:cs="Arial"/>
          <w:szCs w:val="24"/>
        </w:rPr>
        <w:t xml:space="preserve"> </w:t>
      </w:r>
    </w:p>
    <w:p w14:paraId="32620F8C" w14:textId="77777777" w:rsidR="00C01518" w:rsidRDefault="00C01518" w:rsidP="001273E5">
      <w:pPr>
        <w:jc w:val="both"/>
        <w:rPr>
          <w:rFonts w:eastAsia="Arial" w:cs="Arial"/>
          <w:szCs w:val="24"/>
        </w:rPr>
      </w:pPr>
    </w:p>
    <w:p w14:paraId="202B7903" w14:textId="77777777" w:rsidR="00C01518" w:rsidRDefault="00C01518" w:rsidP="001273E5">
      <w:pPr>
        <w:jc w:val="both"/>
        <w:rPr>
          <w:rFonts w:eastAsia="Arial" w:cs="Arial"/>
          <w:szCs w:val="24"/>
        </w:rPr>
      </w:pPr>
    </w:p>
    <w:p w14:paraId="0831AB3E" w14:textId="77777777" w:rsidR="00C01518" w:rsidRDefault="00C01518" w:rsidP="001273E5">
      <w:pPr>
        <w:jc w:val="both"/>
        <w:rPr>
          <w:rFonts w:eastAsia="Arial" w:cs="Arial"/>
          <w:szCs w:val="24"/>
        </w:rPr>
      </w:pPr>
    </w:p>
    <w:p w14:paraId="652498DC" w14:textId="77777777" w:rsidR="00C01518" w:rsidRDefault="00C01518" w:rsidP="001273E5">
      <w:pPr>
        <w:jc w:val="both"/>
        <w:rPr>
          <w:rFonts w:eastAsia="Arial" w:cs="Arial"/>
          <w:szCs w:val="24"/>
        </w:rPr>
      </w:pPr>
    </w:p>
    <w:p w14:paraId="20912F71" w14:textId="77777777" w:rsidR="00C01518" w:rsidRPr="004F65C5" w:rsidRDefault="00C01518" w:rsidP="001273E5">
      <w:pPr>
        <w:jc w:val="both"/>
      </w:pPr>
    </w:p>
    <w:p w14:paraId="44413A6E" w14:textId="77777777" w:rsidR="00333FAA" w:rsidRDefault="00333FAA" w:rsidP="00A1211C">
      <w:pPr>
        <w:pStyle w:val="Heading3"/>
        <w:spacing w:before="480" w:after="240"/>
      </w:pPr>
      <w:r>
        <w:lastRenderedPageBreak/>
        <w:t>Legal Implications</w:t>
      </w:r>
    </w:p>
    <w:p w14:paraId="7F3B89E4" w14:textId="07BD34C3" w:rsidR="008D724F" w:rsidRDefault="008D724F" w:rsidP="008D724F">
      <w:r>
        <w:t xml:space="preserve">The Cabinet report is seeking approval to commence a tender activity. </w:t>
      </w:r>
      <w:r w:rsidR="00AE199A">
        <w:t>In accordance</w:t>
      </w:r>
      <w:r>
        <w:t xml:space="preserve"> with the Council’s Contract Procedure Rules</w:t>
      </w:r>
      <w:r w:rsidR="004E3CA0">
        <w:t xml:space="preserve"> (CPRs)</w:t>
      </w:r>
      <w:r>
        <w:t>, (Table 1 Authorisation and Acceptance Thresholds) approval to procure contracts with a value of £500k plus should be obtained by completing a Cabinet Report and having a Cabinet decision prior to any tender activity commencing.</w:t>
      </w:r>
    </w:p>
    <w:p w14:paraId="0AB8A8A1" w14:textId="77777777" w:rsidR="008D724F" w:rsidRDefault="008D724F" w:rsidP="008D724F"/>
    <w:p w14:paraId="4D5947A2" w14:textId="50459665" w:rsidR="001508B6" w:rsidRDefault="00035897" w:rsidP="008D724F">
      <w:r w:rsidRPr="00035897">
        <w:t xml:space="preserve">The estimated contract value is below the </w:t>
      </w:r>
      <w:r w:rsidR="008C4D2E">
        <w:t xml:space="preserve">financial threshold for public works </w:t>
      </w:r>
      <w:r w:rsidR="005601BB">
        <w:t>set out</w:t>
      </w:r>
      <w:r w:rsidR="008A38A1">
        <w:t xml:space="preserve"> in</w:t>
      </w:r>
      <w:r w:rsidR="0020033C" w:rsidRPr="0020033C">
        <w:rPr>
          <w:rFonts w:cs="Arial"/>
          <w:bCs/>
        </w:rPr>
        <w:t xml:space="preserve"> </w:t>
      </w:r>
      <w:r w:rsidR="0020033C">
        <w:rPr>
          <w:rFonts w:cs="Arial"/>
          <w:bCs/>
        </w:rPr>
        <w:t>Regulation 5 of the</w:t>
      </w:r>
      <w:r w:rsidR="008C4D2E" w:rsidRPr="008C4D2E">
        <w:t xml:space="preserve"> </w:t>
      </w:r>
      <w:r w:rsidRPr="00035897">
        <w:t>Public Contract Regulations 2015</w:t>
      </w:r>
      <w:r w:rsidR="00347811">
        <w:t xml:space="preserve"> (PCRs)</w:t>
      </w:r>
      <w:r w:rsidR="00E8728A" w:rsidRPr="00E8728A">
        <w:rPr>
          <w:rFonts w:cs="Arial"/>
          <w:bCs/>
        </w:rPr>
        <w:t xml:space="preserve"> </w:t>
      </w:r>
      <w:r w:rsidR="00E8728A">
        <w:rPr>
          <w:rFonts w:cs="Arial"/>
          <w:bCs/>
        </w:rPr>
        <w:t>and therefore do</w:t>
      </w:r>
      <w:r w:rsidR="00E5458C">
        <w:rPr>
          <w:rFonts w:cs="Arial"/>
          <w:bCs/>
        </w:rPr>
        <w:t>es</w:t>
      </w:r>
      <w:r w:rsidR="00E8728A">
        <w:rPr>
          <w:rFonts w:cs="Arial"/>
          <w:bCs/>
        </w:rPr>
        <w:t xml:space="preserve"> not require a formal procurement exercise</w:t>
      </w:r>
      <w:r w:rsidR="00E5458C">
        <w:rPr>
          <w:rFonts w:cs="Arial"/>
          <w:bCs/>
        </w:rPr>
        <w:t xml:space="preserve"> </w:t>
      </w:r>
      <w:r w:rsidR="00380CD8">
        <w:rPr>
          <w:rFonts w:cs="Arial"/>
          <w:bCs/>
        </w:rPr>
        <w:t xml:space="preserve">in accordance with </w:t>
      </w:r>
      <w:r w:rsidR="0098323C">
        <w:rPr>
          <w:rFonts w:cs="Arial"/>
          <w:bCs/>
        </w:rPr>
        <w:t>Section 3 of the PCRs</w:t>
      </w:r>
      <w:r w:rsidRPr="00035897">
        <w:t xml:space="preserve">. </w:t>
      </w:r>
      <w:r w:rsidR="0051446A">
        <w:t>Nonetheless the other provisions of the PCRs still apply</w:t>
      </w:r>
      <w:r w:rsidR="002F0138">
        <w:t xml:space="preserve"> and </w:t>
      </w:r>
      <w:r w:rsidR="0042179F">
        <w:t xml:space="preserve">the </w:t>
      </w:r>
      <w:r w:rsidRPr="00035897">
        <w:t xml:space="preserve">London Borough of Barnet </w:t>
      </w:r>
      <w:r w:rsidR="0042179F">
        <w:t>will conduct a</w:t>
      </w:r>
      <w:r w:rsidRPr="00035897">
        <w:t xml:space="preserve"> </w:t>
      </w:r>
      <w:r w:rsidR="001232C8">
        <w:t>procurement process which is</w:t>
      </w:r>
      <w:r w:rsidR="00780874">
        <w:t xml:space="preserve"> </w:t>
      </w:r>
      <w:r w:rsidR="001508B6">
        <w:t>compliant</w:t>
      </w:r>
      <w:r w:rsidRPr="00035897">
        <w:t xml:space="preserve"> </w:t>
      </w:r>
      <w:r w:rsidR="001508B6">
        <w:t xml:space="preserve">with the PCRs </w:t>
      </w:r>
      <w:r w:rsidR="00780874">
        <w:t>and</w:t>
      </w:r>
      <w:r w:rsidRPr="00035897">
        <w:t xml:space="preserve"> consistent with the Councils C</w:t>
      </w:r>
      <w:r w:rsidR="00805BDB">
        <w:t>PRs</w:t>
      </w:r>
      <w:r>
        <w:t xml:space="preserve">. </w:t>
      </w:r>
    </w:p>
    <w:p w14:paraId="39D881A3" w14:textId="77777777" w:rsidR="001508B6" w:rsidRDefault="001508B6" w:rsidP="008D724F"/>
    <w:p w14:paraId="0E7E170A" w14:textId="7A025928" w:rsidR="008D724F" w:rsidRDefault="00035897" w:rsidP="008D724F">
      <w:r>
        <w:t xml:space="preserve">Paragraph 4.2 of the </w:t>
      </w:r>
      <w:r w:rsidR="006E483A">
        <w:t xml:space="preserve">Council’s </w:t>
      </w:r>
      <w:r>
        <w:t>CPR’s state that; ‘</w:t>
      </w:r>
      <w:r w:rsidRPr="00235532">
        <w:rPr>
          <w:i/>
          <w:iCs/>
        </w:rPr>
        <w:t>Where the Council is entering into a Contract… in collaboration with another public body or organisation, these Contract Procedure Rules apply only in so far as they are consistent with the requirements of the organisation with whom we are collaborating</w:t>
      </w:r>
      <w:r w:rsidR="006E483A">
        <w:t>’</w:t>
      </w:r>
      <w:r>
        <w:t>.</w:t>
      </w:r>
      <w:r w:rsidR="00AB579D">
        <w:t xml:space="preserve"> </w:t>
      </w:r>
      <w:r w:rsidR="004E3CA0">
        <w:t xml:space="preserve">The CPR’s are consistent </w:t>
      </w:r>
      <w:r w:rsidR="004E3CA0" w:rsidRPr="004E3CA0">
        <w:t xml:space="preserve">with the </w:t>
      </w:r>
      <w:r w:rsidR="00AB579D">
        <w:t>procurement</w:t>
      </w:r>
      <w:r w:rsidR="004E3CA0" w:rsidRPr="004E3CA0">
        <w:t xml:space="preserve"> process being </w:t>
      </w:r>
      <w:r w:rsidR="00D6043A">
        <w:t>conduct</w:t>
      </w:r>
      <w:r w:rsidR="004E3CA0" w:rsidRPr="004E3CA0">
        <w:t xml:space="preserve">ed by the London </w:t>
      </w:r>
      <w:r w:rsidR="001A2844">
        <w:t>B</w:t>
      </w:r>
      <w:r w:rsidR="004E3CA0" w:rsidRPr="004E3CA0">
        <w:t xml:space="preserve">orough of Barnet. </w:t>
      </w:r>
    </w:p>
    <w:p w14:paraId="164689EA" w14:textId="558559D8" w:rsidR="008D724F" w:rsidRDefault="008D724F" w:rsidP="008D724F">
      <w:r>
        <w:t xml:space="preserve">The procurement process </w:t>
      </w:r>
      <w:r w:rsidR="00D92653">
        <w:t>as set out in th</w:t>
      </w:r>
      <w:r w:rsidR="00497EE9">
        <w:t>is</w:t>
      </w:r>
      <w:r w:rsidR="00D92653">
        <w:t xml:space="preserve"> report complies with </w:t>
      </w:r>
      <w:r>
        <w:t>the PCRs and the Council’s CPRs.</w:t>
      </w:r>
    </w:p>
    <w:p w14:paraId="11F2AC04" w14:textId="77777777" w:rsidR="00333FAA" w:rsidRDefault="00333FAA" w:rsidP="00A1211C">
      <w:pPr>
        <w:pStyle w:val="Heading3"/>
        <w:spacing w:before="480" w:after="240"/>
      </w:pPr>
      <w:r>
        <w:t>Financial Implications</w:t>
      </w:r>
    </w:p>
    <w:p w14:paraId="48A8BED4" w14:textId="0E5F1E9A" w:rsidR="00D26D26" w:rsidRDefault="00D26D26" w:rsidP="00D26D26">
      <w:pPr>
        <w:ind w:left="567"/>
        <w:jc w:val="both"/>
        <w:rPr>
          <w:rFonts w:eastAsia="Arial" w:cs="Arial"/>
          <w:b/>
          <w:bCs/>
        </w:rPr>
      </w:pPr>
      <w:r w:rsidRPr="72047128">
        <w:rPr>
          <w:rFonts w:eastAsia="Arial" w:cs="Arial"/>
          <w:b/>
          <w:bCs/>
        </w:rPr>
        <w:t xml:space="preserve">Table </w:t>
      </w:r>
      <w:r>
        <w:rPr>
          <w:rFonts w:eastAsia="Arial" w:cs="Arial"/>
          <w:b/>
          <w:bCs/>
        </w:rPr>
        <w:t>2</w:t>
      </w:r>
      <w:r w:rsidRPr="72047128">
        <w:rPr>
          <w:rFonts w:eastAsia="Arial" w:cs="Arial"/>
          <w:b/>
          <w:bCs/>
        </w:rPr>
        <w:t xml:space="preserve"> – </w:t>
      </w:r>
      <w:r>
        <w:rPr>
          <w:rFonts w:eastAsia="Arial" w:cs="Arial"/>
          <w:b/>
          <w:bCs/>
        </w:rPr>
        <w:t>Finance</w:t>
      </w:r>
      <w:r w:rsidR="00820925">
        <w:rPr>
          <w:rFonts w:eastAsia="Arial" w:cs="Arial"/>
          <w:b/>
          <w:bCs/>
        </w:rPr>
        <w:t xml:space="preserve"> Profile</w:t>
      </w:r>
    </w:p>
    <w:p w14:paraId="7042A01C" w14:textId="77777777" w:rsidR="00D26D26" w:rsidRPr="00D26D26" w:rsidRDefault="00D26D26" w:rsidP="00820925"/>
    <w:p w14:paraId="6FC34ADF" w14:textId="1420D4BD" w:rsidR="00B41752" w:rsidRDefault="00B41752" w:rsidP="00B41752">
      <w:r>
        <w:t xml:space="preserve">The contract value </w:t>
      </w:r>
      <w:r w:rsidR="00181C6C">
        <w:t xml:space="preserve">for Lot 2 (Chandos Recreation Ground) </w:t>
      </w:r>
      <w:r>
        <w:t xml:space="preserve">of this </w:t>
      </w:r>
      <w:r w:rsidR="003D20DA">
        <w:t xml:space="preserve">joint </w:t>
      </w:r>
      <w:r>
        <w:t xml:space="preserve">procurement is </w:t>
      </w:r>
      <w:r w:rsidR="00181C6C">
        <w:t xml:space="preserve">estimated at </w:t>
      </w:r>
      <w:r w:rsidR="00995768">
        <w:t>£2.5m</w:t>
      </w:r>
      <w:r>
        <w:t>. Th</w:t>
      </w:r>
      <w:r w:rsidR="003D20DA">
        <w:t>is</w:t>
      </w:r>
      <w:r>
        <w:t xml:space="preserve"> will cover works for Harrow </w:t>
      </w:r>
      <w:r w:rsidR="00181C6C">
        <w:t>boundary</w:t>
      </w:r>
      <w:r>
        <w:t>, funded by DEFRA’s Silk Stream Flood Resilience Innovation project</w:t>
      </w:r>
      <w:r w:rsidR="00181C6C">
        <w:t xml:space="preserve">, </w:t>
      </w:r>
      <w:r>
        <w:t>the GLA’s Green and Resilient Spaces Fund</w:t>
      </w:r>
      <w:r w:rsidR="00181C6C">
        <w:t xml:space="preserve">, and </w:t>
      </w:r>
      <w:r w:rsidR="003D20DA">
        <w:t xml:space="preserve">the </w:t>
      </w:r>
      <w:r w:rsidR="00181C6C">
        <w:t>Council</w:t>
      </w:r>
      <w:r w:rsidR="003D20DA">
        <w:t>’s B</w:t>
      </w:r>
      <w:r w:rsidR="00DE25A2">
        <w:t xml:space="preserve">orough </w:t>
      </w:r>
      <w:r w:rsidR="003D20DA">
        <w:t>C</w:t>
      </w:r>
      <w:r w:rsidR="00DE25A2">
        <w:t xml:space="preserve">ommunity </w:t>
      </w:r>
      <w:r w:rsidR="003D20DA">
        <w:t>I</w:t>
      </w:r>
      <w:r w:rsidR="00DE25A2">
        <w:t xml:space="preserve">nfrastructure </w:t>
      </w:r>
      <w:r w:rsidR="003D20DA">
        <w:t>L</w:t>
      </w:r>
      <w:r w:rsidR="00DE25A2">
        <w:t>evy (BCIL)</w:t>
      </w:r>
      <w:r w:rsidR="00181C6C">
        <w:t xml:space="preserve"> match fund</w:t>
      </w:r>
      <w:r>
        <w:t>. The funding sources of the contract are summarised below.</w:t>
      </w:r>
    </w:p>
    <w:p w14:paraId="321C413A" w14:textId="336A4CB4" w:rsidR="00B41752" w:rsidRDefault="00B41752" w:rsidP="00B41752"/>
    <w:tbl>
      <w:tblPr>
        <w:tblStyle w:val="TableGrid"/>
        <w:tblW w:w="8359" w:type="dxa"/>
        <w:tblLook w:val="04A0" w:firstRow="1" w:lastRow="0" w:firstColumn="1" w:lastColumn="0" w:noHBand="0" w:noVBand="1"/>
      </w:tblPr>
      <w:tblGrid>
        <w:gridCol w:w="2972"/>
        <w:gridCol w:w="1276"/>
        <w:gridCol w:w="1276"/>
        <w:gridCol w:w="1559"/>
        <w:gridCol w:w="1276"/>
      </w:tblGrid>
      <w:tr w:rsidR="00B41752" w:rsidRPr="00B41752" w14:paraId="3F71E3CC" w14:textId="77777777" w:rsidTr="00BC0996">
        <w:tc>
          <w:tcPr>
            <w:tcW w:w="2972" w:type="dxa"/>
          </w:tcPr>
          <w:p w14:paraId="20B2EC3D" w14:textId="1F65ABC4" w:rsidR="00B41752" w:rsidRPr="00BC0996" w:rsidRDefault="00B41752" w:rsidP="00B41752">
            <w:pPr>
              <w:rPr>
                <w:b/>
                <w:bCs/>
              </w:rPr>
            </w:pPr>
            <w:r w:rsidRPr="00BC0996">
              <w:rPr>
                <w:b/>
                <w:bCs/>
              </w:rPr>
              <w:t>Project</w:t>
            </w:r>
          </w:p>
        </w:tc>
        <w:tc>
          <w:tcPr>
            <w:tcW w:w="1276" w:type="dxa"/>
          </w:tcPr>
          <w:p w14:paraId="0B1DA326" w14:textId="3F3C7B0C" w:rsidR="00B41752" w:rsidRPr="00BC0996" w:rsidRDefault="00B41752" w:rsidP="00B41752">
            <w:pPr>
              <w:rPr>
                <w:b/>
                <w:bCs/>
              </w:rPr>
            </w:pPr>
            <w:r w:rsidRPr="00BC0996">
              <w:rPr>
                <w:b/>
                <w:bCs/>
              </w:rPr>
              <w:t>DEFRA funding</w:t>
            </w:r>
          </w:p>
        </w:tc>
        <w:tc>
          <w:tcPr>
            <w:tcW w:w="1276" w:type="dxa"/>
          </w:tcPr>
          <w:p w14:paraId="0B08AB1F" w14:textId="41BD9331" w:rsidR="00B41752" w:rsidRPr="00BC0996" w:rsidRDefault="00B41752" w:rsidP="00B41752">
            <w:pPr>
              <w:rPr>
                <w:b/>
                <w:bCs/>
              </w:rPr>
            </w:pPr>
            <w:r w:rsidRPr="00BC0996">
              <w:rPr>
                <w:b/>
                <w:bCs/>
              </w:rPr>
              <w:t>GLA funding</w:t>
            </w:r>
          </w:p>
        </w:tc>
        <w:tc>
          <w:tcPr>
            <w:tcW w:w="1559" w:type="dxa"/>
          </w:tcPr>
          <w:p w14:paraId="66996E38" w14:textId="50813DB5" w:rsidR="00B41752" w:rsidRPr="00BC0996" w:rsidRDefault="00995768" w:rsidP="00B41752">
            <w:pPr>
              <w:rPr>
                <w:b/>
                <w:bCs/>
              </w:rPr>
            </w:pPr>
            <w:r>
              <w:rPr>
                <w:b/>
                <w:bCs/>
              </w:rPr>
              <w:t>BCIL</w:t>
            </w:r>
            <w:r w:rsidR="00B41752">
              <w:rPr>
                <w:b/>
                <w:bCs/>
              </w:rPr>
              <w:t xml:space="preserve"> match fund</w:t>
            </w:r>
          </w:p>
        </w:tc>
        <w:tc>
          <w:tcPr>
            <w:tcW w:w="1276" w:type="dxa"/>
          </w:tcPr>
          <w:p w14:paraId="741DA7CE" w14:textId="192F01ED" w:rsidR="00B41752" w:rsidRPr="00B41752" w:rsidRDefault="00B41752" w:rsidP="00B41752">
            <w:pPr>
              <w:rPr>
                <w:b/>
                <w:bCs/>
              </w:rPr>
            </w:pPr>
            <w:r>
              <w:rPr>
                <w:b/>
                <w:bCs/>
              </w:rPr>
              <w:t>Total</w:t>
            </w:r>
          </w:p>
        </w:tc>
      </w:tr>
      <w:tr w:rsidR="00B41752" w14:paraId="3516EC5E" w14:textId="77777777" w:rsidTr="00BC0996">
        <w:tc>
          <w:tcPr>
            <w:tcW w:w="2972" w:type="dxa"/>
          </w:tcPr>
          <w:p w14:paraId="03CE9128" w14:textId="6B0CC1DC" w:rsidR="00B41752" w:rsidRDefault="00B41752" w:rsidP="00B41752">
            <w:r>
              <w:t>Chandos Rec</w:t>
            </w:r>
            <w:r w:rsidR="00995768">
              <w:t xml:space="preserve"> Ground</w:t>
            </w:r>
          </w:p>
        </w:tc>
        <w:tc>
          <w:tcPr>
            <w:tcW w:w="1276" w:type="dxa"/>
          </w:tcPr>
          <w:p w14:paraId="26A3708B" w14:textId="77777777" w:rsidR="00B41752" w:rsidRDefault="00B41752" w:rsidP="00B41752"/>
        </w:tc>
        <w:tc>
          <w:tcPr>
            <w:tcW w:w="1276" w:type="dxa"/>
          </w:tcPr>
          <w:p w14:paraId="67214322" w14:textId="6726DD41" w:rsidR="00B41752" w:rsidRDefault="00B41752" w:rsidP="00B41752">
            <w:r>
              <w:t>£0.240m</w:t>
            </w:r>
          </w:p>
        </w:tc>
        <w:tc>
          <w:tcPr>
            <w:tcW w:w="1559" w:type="dxa"/>
          </w:tcPr>
          <w:p w14:paraId="021969DD" w14:textId="1B34D07C" w:rsidR="00B41752" w:rsidRDefault="00B41752" w:rsidP="00B41752">
            <w:r>
              <w:t>£</w:t>
            </w:r>
            <w:r w:rsidR="00995768">
              <w:t>0.200m</w:t>
            </w:r>
          </w:p>
        </w:tc>
        <w:tc>
          <w:tcPr>
            <w:tcW w:w="1276" w:type="dxa"/>
          </w:tcPr>
          <w:p w14:paraId="22E29374" w14:textId="070F105C" w:rsidR="00B41752" w:rsidRDefault="00B41752" w:rsidP="00B41752">
            <w:r>
              <w:t>£</w:t>
            </w:r>
            <w:r w:rsidR="00995768">
              <w:t>0.440m</w:t>
            </w:r>
          </w:p>
        </w:tc>
      </w:tr>
      <w:tr w:rsidR="00995768" w14:paraId="2F4F177E" w14:textId="77777777" w:rsidTr="00B41752">
        <w:tc>
          <w:tcPr>
            <w:tcW w:w="2972" w:type="dxa"/>
          </w:tcPr>
          <w:p w14:paraId="3F885E36" w14:textId="1C60A00D" w:rsidR="00995768" w:rsidRDefault="003D20DA" w:rsidP="00B41752">
            <w:r>
              <w:t xml:space="preserve">Edgware Brook in Chandos Rec Ground as part of the </w:t>
            </w:r>
            <w:r w:rsidR="00995768">
              <w:t>Silk Stream Flood Resilience Innovation project (Barnet led)</w:t>
            </w:r>
          </w:p>
        </w:tc>
        <w:tc>
          <w:tcPr>
            <w:tcW w:w="1276" w:type="dxa"/>
          </w:tcPr>
          <w:p w14:paraId="6D9326F7" w14:textId="16B2FF3A" w:rsidR="00995768" w:rsidRDefault="00995768" w:rsidP="00B41752">
            <w:r>
              <w:t>£2.060m</w:t>
            </w:r>
          </w:p>
        </w:tc>
        <w:tc>
          <w:tcPr>
            <w:tcW w:w="1276" w:type="dxa"/>
          </w:tcPr>
          <w:p w14:paraId="414ABA68" w14:textId="77777777" w:rsidR="00995768" w:rsidRDefault="00995768" w:rsidP="00B41752"/>
        </w:tc>
        <w:tc>
          <w:tcPr>
            <w:tcW w:w="1559" w:type="dxa"/>
          </w:tcPr>
          <w:p w14:paraId="6ADDF82D" w14:textId="77777777" w:rsidR="00995768" w:rsidRDefault="00995768" w:rsidP="00B41752"/>
        </w:tc>
        <w:tc>
          <w:tcPr>
            <w:tcW w:w="1276" w:type="dxa"/>
          </w:tcPr>
          <w:p w14:paraId="6086D2BA" w14:textId="3DFAA393" w:rsidR="00995768" w:rsidRDefault="00995768" w:rsidP="00B41752">
            <w:r>
              <w:t>£2.060m</w:t>
            </w:r>
          </w:p>
        </w:tc>
      </w:tr>
      <w:tr w:rsidR="00995768" w:rsidRPr="00995768" w14:paraId="41DAAAA0" w14:textId="77777777" w:rsidTr="00B41752">
        <w:tc>
          <w:tcPr>
            <w:tcW w:w="2972" w:type="dxa"/>
          </w:tcPr>
          <w:p w14:paraId="3F8C5D8D" w14:textId="1AB858A8" w:rsidR="00995768" w:rsidRPr="00BC0996" w:rsidRDefault="00995768" w:rsidP="00B41752">
            <w:pPr>
              <w:rPr>
                <w:b/>
                <w:bCs/>
              </w:rPr>
            </w:pPr>
            <w:r w:rsidRPr="00BC0996">
              <w:rPr>
                <w:b/>
                <w:bCs/>
              </w:rPr>
              <w:t>Total</w:t>
            </w:r>
          </w:p>
        </w:tc>
        <w:tc>
          <w:tcPr>
            <w:tcW w:w="1276" w:type="dxa"/>
          </w:tcPr>
          <w:p w14:paraId="06EDB947" w14:textId="4C64B4AB" w:rsidR="00995768" w:rsidRPr="00BC0996" w:rsidRDefault="00995768" w:rsidP="00B41752">
            <w:pPr>
              <w:rPr>
                <w:b/>
                <w:bCs/>
              </w:rPr>
            </w:pPr>
            <w:r w:rsidRPr="00BC0996">
              <w:rPr>
                <w:b/>
                <w:bCs/>
              </w:rPr>
              <w:t>£2.060m</w:t>
            </w:r>
          </w:p>
        </w:tc>
        <w:tc>
          <w:tcPr>
            <w:tcW w:w="1276" w:type="dxa"/>
          </w:tcPr>
          <w:p w14:paraId="68E97E1B" w14:textId="3E72B241" w:rsidR="00995768" w:rsidRPr="00BC0996" w:rsidRDefault="00995768" w:rsidP="00B41752">
            <w:pPr>
              <w:rPr>
                <w:b/>
                <w:bCs/>
              </w:rPr>
            </w:pPr>
            <w:r w:rsidRPr="00BC0996">
              <w:rPr>
                <w:b/>
                <w:bCs/>
              </w:rPr>
              <w:t>£0.240m</w:t>
            </w:r>
          </w:p>
        </w:tc>
        <w:tc>
          <w:tcPr>
            <w:tcW w:w="1559" w:type="dxa"/>
          </w:tcPr>
          <w:p w14:paraId="6097BD2E" w14:textId="13B35C28" w:rsidR="00995768" w:rsidRPr="00BC0996" w:rsidRDefault="00995768" w:rsidP="00B41752">
            <w:pPr>
              <w:rPr>
                <w:b/>
                <w:bCs/>
              </w:rPr>
            </w:pPr>
            <w:r w:rsidRPr="00BC0996">
              <w:rPr>
                <w:b/>
                <w:bCs/>
              </w:rPr>
              <w:t>£0.200m</w:t>
            </w:r>
          </w:p>
        </w:tc>
        <w:tc>
          <w:tcPr>
            <w:tcW w:w="1276" w:type="dxa"/>
          </w:tcPr>
          <w:p w14:paraId="384172B7" w14:textId="4DF6C4BB" w:rsidR="00995768" w:rsidRPr="00BC0996" w:rsidRDefault="00995768" w:rsidP="00B41752">
            <w:pPr>
              <w:rPr>
                <w:b/>
                <w:bCs/>
              </w:rPr>
            </w:pPr>
            <w:r w:rsidRPr="00BC0996">
              <w:rPr>
                <w:b/>
                <w:bCs/>
              </w:rPr>
              <w:t>£2.500m</w:t>
            </w:r>
          </w:p>
        </w:tc>
      </w:tr>
    </w:tbl>
    <w:p w14:paraId="100D6A4A" w14:textId="6B29DF4E" w:rsidR="00B41752" w:rsidRDefault="00B41752" w:rsidP="00B41752"/>
    <w:p w14:paraId="404974FE" w14:textId="77777777" w:rsidR="00593F78" w:rsidRDefault="00593F78" w:rsidP="00B41752">
      <w:r>
        <w:t xml:space="preserve">The Chandos Recreation Ground project has been included in the Capital Programme with a total budget allocation of £0.5m, funded from the GLA (£0.3m) and BCIL (£0.2m). £60k has been committed to the development phase in 2023/24. The remaining £440k will be utilised in construction delivery phase which is part of this procurement. </w:t>
      </w:r>
    </w:p>
    <w:p w14:paraId="47D8CDDE" w14:textId="77777777" w:rsidR="00593F78" w:rsidRDefault="00593F78" w:rsidP="00B41752"/>
    <w:p w14:paraId="406896FE" w14:textId="231C3233" w:rsidR="00B41752" w:rsidRDefault="00593F78" w:rsidP="00B41752">
      <w:r>
        <w:t xml:space="preserve">The Silk Stream Flood Resilience Innovation project is led by Barnet with a total funding </w:t>
      </w:r>
      <w:r w:rsidR="00DE25A2">
        <w:t xml:space="preserve">award </w:t>
      </w:r>
      <w:r>
        <w:t xml:space="preserve">of £6m by the DEFRA, but the geographical area of the project also covers some within Harrow boundary </w:t>
      </w:r>
      <w:r w:rsidR="00717B4C">
        <w:t>i.e.,</w:t>
      </w:r>
      <w:r>
        <w:t xml:space="preserve"> Edgware Brook. </w:t>
      </w:r>
      <w:r w:rsidR="00717B4C">
        <w:t>Therefore,</w:t>
      </w:r>
      <w:r>
        <w:t xml:space="preserve"> th</w:t>
      </w:r>
      <w:r w:rsidR="00DE25A2">
        <w:t>e scope of the</w:t>
      </w:r>
      <w:r>
        <w:t xml:space="preserve"> procurement includes this element of work with an estimated cost of £2.060m. </w:t>
      </w:r>
    </w:p>
    <w:p w14:paraId="256E68EB" w14:textId="77777777" w:rsidR="00717B4C" w:rsidRDefault="00717B4C" w:rsidP="00B41752"/>
    <w:p w14:paraId="0C64A50A" w14:textId="79D3C9CF" w:rsidR="00B41752" w:rsidRDefault="00DE25A2" w:rsidP="007B6FE5">
      <w:r>
        <w:t xml:space="preserve">The improvement works in Chandos Recreation Ground is expected to reduce both revenue and capital burdens for the Council. The project will deliver nature-based solutions to reduce future ongoing maintenance. Opportunities are also being explored with a Green Financing consultant to secure private section income to provide future revenue funding for maintenance in the Silk Stream catchment parks. </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238EC114" w14:textId="49103E8D" w:rsidR="00C06632" w:rsidRDefault="00C06632" w:rsidP="00690908">
      <w:r w:rsidRPr="00697B77">
        <w:t xml:space="preserve">There are no equalities </w:t>
      </w:r>
      <w:r w:rsidR="00835E10" w:rsidRPr="00697B77">
        <w:t>i</w:t>
      </w:r>
      <w:r w:rsidRPr="00697B77">
        <w:t>mplication to this decision.</w:t>
      </w:r>
    </w:p>
    <w:p w14:paraId="5EB76141" w14:textId="06037645" w:rsidR="00AE7855" w:rsidRPr="00835E10" w:rsidRDefault="00AE7855" w:rsidP="00690908">
      <w:pPr>
        <w:pStyle w:val="Heading3"/>
        <w:spacing w:before="480" w:after="240"/>
      </w:pPr>
      <w:r>
        <w:t>Council</w:t>
      </w:r>
      <w:r w:rsidRPr="00690908">
        <w:t xml:space="preserve"> </w:t>
      </w:r>
      <w:r>
        <w:t>Priorities</w:t>
      </w:r>
    </w:p>
    <w:p w14:paraId="6E3B01F4" w14:textId="77777777" w:rsidR="00AE7855" w:rsidRPr="004F65C5" w:rsidRDefault="00AE7855" w:rsidP="00690908">
      <w:r w:rsidRPr="00AE7855">
        <w:t>The</w:t>
      </w:r>
      <w:r w:rsidRPr="00690908">
        <w:t xml:space="preserve"> </w:t>
      </w:r>
      <w:r w:rsidRPr="00AE7855">
        <w:t>Council’s</w:t>
      </w:r>
      <w:r w:rsidRPr="00690908">
        <w:t xml:space="preserve"> </w:t>
      </w:r>
      <w:r w:rsidRPr="00AE7855">
        <w:t>vision:</w:t>
      </w:r>
    </w:p>
    <w:p w14:paraId="68C6E779" w14:textId="77777777" w:rsidR="00AE7855" w:rsidRPr="00AE7855" w:rsidRDefault="00AE7855" w:rsidP="00AE7855">
      <w:pPr>
        <w:pStyle w:val="BodyText"/>
        <w:rPr>
          <w:i w:val="0"/>
          <w:iCs w:val="0"/>
        </w:rPr>
      </w:pPr>
    </w:p>
    <w:p w14:paraId="31AAF449" w14:textId="4A65E229" w:rsidR="00AE7855" w:rsidRPr="00717B4C" w:rsidRDefault="00AE7855" w:rsidP="00AE7855">
      <w:pPr>
        <w:pStyle w:val="Heading1"/>
        <w:rPr>
          <w:sz w:val="24"/>
          <w:szCs w:val="22"/>
        </w:rPr>
      </w:pPr>
      <w:r w:rsidRPr="00717B4C">
        <w:rPr>
          <w:sz w:val="24"/>
          <w:szCs w:val="22"/>
        </w:rPr>
        <w:t>Restoring Pride in Harrow</w:t>
      </w:r>
      <w:r w:rsidR="00835E10" w:rsidRPr="00717B4C">
        <w:rPr>
          <w:sz w:val="24"/>
          <w:szCs w:val="22"/>
        </w:rPr>
        <w:t xml:space="preserve"> and Putting Residents First</w:t>
      </w:r>
    </w:p>
    <w:p w14:paraId="066A5A82" w14:textId="77777777" w:rsidR="00AE7855" w:rsidRPr="00AE7855" w:rsidRDefault="00AE7855" w:rsidP="00AE7855">
      <w:pPr>
        <w:pStyle w:val="BodyText"/>
        <w:rPr>
          <w:b/>
          <w:i w:val="0"/>
          <w:iCs w:val="0"/>
        </w:rPr>
      </w:pPr>
    </w:p>
    <w:p w14:paraId="78BCBFBA" w14:textId="36074345" w:rsidR="00E514F9" w:rsidRPr="004F65C5" w:rsidRDefault="00AE7855" w:rsidP="00690908">
      <w:r w:rsidRPr="00AE7855">
        <w:t>The proposal meets the Council’s vision to restore pride in Harrow</w:t>
      </w:r>
      <w:r w:rsidR="00835E10">
        <w:t xml:space="preserve"> and put residents first</w:t>
      </w:r>
      <w:r w:rsidRPr="00AE7855">
        <w:t xml:space="preserve">. Good maintenance of public </w:t>
      </w:r>
      <w:r w:rsidR="00E64F75">
        <w:t>parks and rivers</w:t>
      </w:r>
      <w:r w:rsidRPr="00AE7855">
        <w:t xml:space="preserve"> greatly enhances </w:t>
      </w:r>
      <w:r w:rsidR="00835E10">
        <w:t xml:space="preserve">Boroughwide </w:t>
      </w:r>
      <w:r w:rsidRPr="00AE7855">
        <w:t>appearance</w:t>
      </w:r>
      <w:r w:rsidR="00CB43B5">
        <w:t xml:space="preserve">, </w:t>
      </w:r>
      <w:r w:rsidR="00C20996">
        <w:t>amenities,</w:t>
      </w:r>
      <w:r w:rsidR="00835E10">
        <w:t xml:space="preserve"> </w:t>
      </w:r>
      <w:r w:rsidRPr="00AE7855">
        <w:t>and public safety. The</w:t>
      </w:r>
      <w:r w:rsidRPr="00690908">
        <w:t xml:space="preserve"> </w:t>
      </w:r>
      <w:r w:rsidRPr="00AE7855">
        <w:t>procurement also ensures the continuation of the range of environmental</w:t>
      </w:r>
      <w:r w:rsidR="00CB43B5">
        <w:t>, health</w:t>
      </w:r>
      <w:r w:rsidRPr="00690908">
        <w:t xml:space="preserve"> and social </w:t>
      </w:r>
      <w:r w:rsidRPr="00AE7855">
        <w:t>benefits</w:t>
      </w:r>
      <w:r w:rsidRPr="00690908">
        <w:t xml:space="preserve"> </w:t>
      </w:r>
      <w:r w:rsidRPr="00AE7855">
        <w:t>that</w:t>
      </w:r>
      <w:r w:rsidRPr="00690908">
        <w:t xml:space="preserve"> </w:t>
      </w:r>
      <w:r w:rsidR="00CB43B5">
        <w:t>parks and rivers</w:t>
      </w:r>
      <w:r w:rsidRPr="00690908">
        <w:t xml:space="preserve"> </w:t>
      </w:r>
      <w:r w:rsidRPr="00AE7855">
        <w:t>provide</w:t>
      </w:r>
      <w:r w:rsidR="004D228A">
        <w:t xml:space="preserve"> and will achieve Green Flag status</w:t>
      </w:r>
      <w:r w:rsidR="00E362FF">
        <w:t>.</w:t>
      </w:r>
    </w:p>
    <w:p w14:paraId="5514D939" w14:textId="77777777" w:rsidR="00333FAA" w:rsidRDefault="00333FAA" w:rsidP="000B7C66">
      <w:pPr>
        <w:pStyle w:val="Heading2"/>
        <w:spacing w:before="480" w:after="240"/>
      </w:pPr>
      <w:r>
        <w:t>Section 3 - Statutory Officer Clearance</w:t>
      </w:r>
    </w:p>
    <w:p w14:paraId="3B5D52F9" w14:textId="44824ACB" w:rsidR="00A66326" w:rsidRPr="00A66326" w:rsidRDefault="00A66326" w:rsidP="00A66326">
      <w:pPr>
        <w:rPr>
          <w:sz w:val="28"/>
        </w:rPr>
      </w:pPr>
      <w:r w:rsidRPr="00A66326">
        <w:rPr>
          <w:b/>
          <w:sz w:val="28"/>
        </w:rPr>
        <w:t>Statutory Officer:</w:t>
      </w:r>
      <w:r w:rsidR="00654BB9">
        <w:rPr>
          <w:b/>
          <w:sz w:val="28"/>
        </w:rPr>
        <w:t xml:space="preserve"> Jessie Ma</w:t>
      </w:r>
      <w:r w:rsidR="00EE2EA6">
        <w:rPr>
          <w:b/>
          <w:sz w:val="28"/>
        </w:rPr>
        <w:t>n</w:t>
      </w:r>
      <w:r w:rsidRPr="00A66326">
        <w:rPr>
          <w:b/>
          <w:sz w:val="28"/>
        </w:rPr>
        <w:t xml:space="preserve">  </w:t>
      </w:r>
    </w:p>
    <w:p w14:paraId="06450070" w14:textId="0936B44A" w:rsidR="00A66326" w:rsidRPr="00A66326" w:rsidRDefault="00A66326" w:rsidP="00A66326">
      <w:r w:rsidRPr="00A66326">
        <w:t>Signed on behalf of the Chief Financial Officer</w:t>
      </w:r>
    </w:p>
    <w:p w14:paraId="555021EF" w14:textId="07653563" w:rsidR="00A66326" w:rsidRDefault="00A66326" w:rsidP="00717B4C">
      <w:pPr>
        <w:rPr>
          <w:b/>
          <w:sz w:val="28"/>
        </w:rPr>
      </w:pPr>
      <w:r w:rsidRPr="00A66326">
        <w:rPr>
          <w:b/>
          <w:sz w:val="28"/>
        </w:rPr>
        <w:t>Date:</w:t>
      </w:r>
      <w:r w:rsidR="00FA280A">
        <w:rPr>
          <w:b/>
          <w:sz w:val="28"/>
        </w:rPr>
        <w:t xml:space="preserve"> </w:t>
      </w:r>
      <w:r w:rsidR="00E514F9">
        <w:rPr>
          <w:b/>
          <w:sz w:val="28"/>
        </w:rPr>
        <w:t>09</w:t>
      </w:r>
      <w:r w:rsidR="00717B4C">
        <w:rPr>
          <w:b/>
          <w:sz w:val="28"/>
        </w:rPr>
        <w:t>/</w:t>
      </w:r>
      <w:r w:rsidR="000F32E9">
        <w:rPr>
          <w:b/>
          <w:sz w:val="28"/>
        </w:rPr>
        <w:t>11</w:t>
      </w:r>
      <w:r w:rsidR="00717B4C">
        <w:rPr>
          <w:b/>
          <w:sz w:val="28"/>
        </w:rPr>
        <w:t>/</w:t>
      </w:r>
      <w:r w:rsidR="00E514F9">
        <w:rPr>
          <w:b/>
          <w:sz w:val="28"/>
        </w:rPr>
        <w:t>23</w:t>
      </w:r>
    </w:p>
    <w:p w14:paraId="50BDBFBA" w14:textId="77777777" w:rsidR="00717B4C" w:rsidRDefault="00717B4C" w:rsidP="00717B4C">
      <w:pPr>
        <w:rPr>
          <w:b/>
          <w:sz w:val="28"/>
        </w:rPr>
      </w:pPr>
    </w:p>
    <w:p w14:paraId="7E329E85" w14:textId="2E05EABB" w:rsidR="00A66326" w:rsidRPr="00A66326" w:rsidRDefault="00A66326" w:rsidP="00A66326">
      <w:pPr>
        <w:rPr>
          <w:sz w:val="28"/>
        </w:rPr>
      </w:pPr>
      <w:r w:rsidRPr="00A66326">
        <w:rPr>
          <w:b/>
          <w:sz w:val="28"/>
        </w:rPr>
        <w:t xml:space="preserve">Statutory Officer: </w:t>
      </w:r>
      <w:r w:rsidR="00717B4C" w:rsidRPr="00717B4C">
        <w:rPr>
          <w:b/>
          <w:sz w:val="28"/>
        </w:rPr>
        <w:t>Patricia Davila</w:t>
      </w:r>
    </w:p>
    <w:p w14:paraId="76F84634" w14:textId="6BAD75DC" w:rsidR="00A66326" w:rsidRPr="00A66326" w:rsidRDefault="00A66326" w:rsidP="00A66326">
      <w:r w:rsidRPr="00A66326">
        <w:t>Signed on behalf of</w:t>
      </w:r>
      <w:r w:rsidR="008D724F">
        <w:t xml:space="preserve"> </w:t>
      </w:r>
      <w:r w:rsidRPr="00A66326">
        <w:t>the Monitoring Officer</w:t>
      </w:r>
    </w:p>
    <w:p w14:paraId="1AC0D358" w14:textId="2E4DF708" w:rsidR="00A66326" w:rsidRDefault="00A66326" w:rsidP="00717B4C">
      <w:pPr>
        <w:rPr>
          <w:b/>
          <w:sz w:val="28"/>
        </w:rPr>
      </w:pPr>
      <w:r w:rsidRPr="00A66326">
        <w:rPr>
          <w:b/>
          <w:sz w:val="28"/>
        </w:rPr>
        <w:t>Date:</w:t>
      </w:r>
      <w:r w:rsidR="000D34B9">
        <w:rPr>
          <w:b/>
          <w:sz w:val="28"/>
        </w:rPr>
        <w:t xml:space="preserve"> </w:t>
      </w:r>
      <w:r w:rsidR="001B4897">
        <w:rPr>
          <w:b/>
          <w:sz w:val="28"/>
        </w:rPr>
        <w:t>14/11/2023</w:t>
      </w:r>
    </w:p>
    <w:p w14:paraId="000AC175" w14:textId="77777777" w:rsidR="00717B4C" w:rsidRPr="003313EA" w:rsidRDefault="00717B4C" w:rsidP="00717B4C">
      <w:pPr>
        <w:rPr>
          <w:sz w:val="28"/>
        </w:rPr>
      </w:pPr>
    </w:p>
    <w:p w14:paraId="31D8FA55" w14:textId="4BB7F3FF" w:rsidR="00BF5AFA" w:rsidRPr="00A66326" w:rsidRDefault="00BF5AFA" w:rsidP="00BF5AFA">
      <w:pPr>
        <w:rPr>
          <w:sz w:val="28"/>
        </w:rPr>
      </w:pPr>
      <w:r>
        <w:rPr>
          <w:b/>
          <w:sz w:val="28"/>
        </w:rPr>
        <w:t>Chief</w:t>
      </w:r>
      <w:r w:rsidRPr="00A66326">
        <w:rPr>
          <w:b/>
          <w:sz w:val="28"/>
        </w:rPr>
        <w:t xml:space="preserve"> Officer:  </w:t>
      </w:r>
      <w:r w:rsidR="00B81C66">
        <w:rPr>
          <w:b/>
          <w:sz w:val="28"/>
        </w:rPr>
        <w:t xml:space="preserve">Dipti Patel </w:t>
      </w:r>
    </w:p>
    <w:p w14:paraId="34A60057" w14:textId="337B2AAF" w:rsidR="00BF5AFA" w:rsidRPr="00A66326" w:rsidRDefault="00BF5AFA" w:rsidP="00BF5AFA">
      <w:pPr>
        <w:rPr>
          <w:sz w:val="28"/>
        </w:rPr>
      </w:pPr>
      <w:r w:rsidRPr="00A66326">
        <w:t xml:space="preserve">Signed </w:t>
      </w:r>
      <w:r>
        <w:t>by the Corporate Director</w:t>
      </w:r>
    </w:p>
    <w:p w14:paraId="5F67CDF0" w14:textId="725247AD" w:rsidR="00BF5AFA" w:rsidRDefault="00BF5AFA" w:rsidP="00717B4C">
      <w:pPr>
        <w:rPr>
          <w:b/>
          <w:sz w:val="28"/>
        </w:rPr>
      </w:pPr>
      <w:r w:rsidRPr="00A66326">
        <w:rPr>
          <w:b/>
          <w:sz w:val="28"/>
        </w:rPr>
        <w:t xml:space="preserve">Date: </w:t>
      </w:r>
      <w:r w:rsidR="00940DB9">
        <w:rPr>
          <w:b/>
          <w:sz w:val="28"/>
        </w:rPr>
        <w:t>15/11/2023</w:t>
      </w:r>
    </w:p>
    <w:p w14:paraId="5994A192" w14:textId="77777777" w:rsidR="00717B4C" w:rsidRPr="00A66326" w:rsidRDefault="00717B4C" w:rsidP="00717B4C">
      <w:pPr>
        <w:rPr>
          <w:sz w:val="28"/>
        </w:rPr>
      </w:pPr>
    </w:p>
    <w:p w14:paraId="29C7CD19" w14:textId="77777777" w:rsidR="003223B4" w:rsidRPr="00151CE7" w:rsidRDefault="003223B4" w:rsidP="003223B4">
      <w:pPr>
        <w:rPr>
          <w:sz w:val="28"/>
        </w:rPr>
      </w:pPr>
      <w:r w:rsidRPr="00151CE7">
        <w:rPr>
          <w:b/>
          <w:sz w:val="28"/>
        </w:rPr>
        <w:t xml:space="preserve">Head of Procurement:  </w:t>
      </w:r>
      <w:r>
        <w:rPr>
          <w:b/>
          <w:sz w:val="28"/>
        </w:rPr>
        <w:t>Martin Trim</w:t>
      </w:r>
    </w:p>
    <w:p w14:paraId="7113F838" w14:textId="77777777" w:rsidR="003223B4" w:rsidRPr="00151CE7" w:rsidRDefault="003223B4" w:rsidP="003223B4">
      <w:r w:rsidRPr="00151CE7">
        <w:t xml:space="preserve">Signed </w:t>
      </w:r>
      <w:r>
        <w:t xml:space="preserve">off </w:t>
      </w:r>
      <w:r w:rsidRPr="00151CE7">
        <w:t>on behalf of Head of Procurement</w:t>
      </w:r>
    </w:p>
    <w:p w14:paraId="262668C4" w14:textId="395A78CA" w:rsidR="003223B4" w:rsidRDefault="003223B4" w:rsidP="003223B4">
      <w:pPr>
        <w:rPr>
          <w:b/>
          <w:sz w:val="28"/>
        </w:rPr>
      </w:pPr>
      <w:r w:rsidRPr="00151CE7">
        <w:rPr>
          <w:b/>
          <w:sz w:val="28"/>
        </w:rPr>
        <w:t xml:space="preserve">Date: </w:t>
      </w:r>
      <w:r>
        <w:rPr>
          <w:b/>
          <w:sz w:val="28"/>
        </w:rPr>
        <w:t>06</w:t>
      </w:r>
      <w:r w:rsidR="00717B4C">
        <w:rPr>
          <w:b/>
          <w:sz w:val="28"/>
        </w:rPr>
        <w:t>/</w:t>
      </w:r>
      <w:r w:rsidR="000F32E9">
        <w:rPr>
          <w:b/>
          <w:sz w:val="28"/>
        </w:rPr>
        <w:t>11</w:t>
      </w:r>
      <w:r w:rsidR="00717B4C">
        <w:rPr>
          <w:b/>
          <w:sz w:val="28"/>
        </w:rPr>
        <w:t>/</w:t>
      </w:r>
      <w:r w:rsidR="000F32E9">
        <w:rPr>
          <w:b/>
          <w:sz w:val="28"/>
        </w:rPr>
        <w:t>23</w:t>
      </w:r>
    </w:p>
    <w:p w14:paraId="13FDE23B" w14:textId="77777777" w:rsidR="00AB582F" w:rsidRDefault="00AB582F" w:rsidP="003223B4">
      <w:pPr>
        <w:rPr>
          <w:b/>
          <w:sz w:val="28"/>
        </w:rPr>
      </w:pPr>
    </w:p>
    <w:p w14:paraId="113297A5" w14:textId="6FFD96FC" w:rsidR="00BF5AFA" w:rsidRPr="00A66326" w:rsidRDefault="00BF5AFA" w:rsidP="00BF5AFA">
      <w:pPr>
        <w:rPr>
          <w:sz w:val="28"/>
        </w:rPr>
      </w:pPr>
      <w:r>
        <w:rPr>
          <w:b/>
          <w:sz w:val="28"/>
        </w:rPr>
        <w:t>Head of Internal Audit</w:t>
      </w:r>
      <w:r w:rsidRPr="00A66326">
        <w:rPr>
          <w:b/>
          <w:sz w:val="28"/>
        </w:rPr>
        <w:t xml:space="preserve">:  </w:t>
      </w:r>
      <w:r w:rsidR="00C513AD">
        <w:rPr>
          <w:b/>
          <w:sz w:val="28"/>
        </w:rPr>
        <w:t>Neale Burns</w:t>
      </w:r>
    </w:p>
    <w:p w14:paraId="5CF04A24" w14:textId="0277E10E" w:rsidR="00BF5AFA" w:rsidRPr="00A66326" w:rsidRDefault="00BF5AFA" w:rsidP="00BF5AFA">
      <w:r w:rsidRPr="00A66326">
        <w:t xml:space="preserve">Signed on behalf the </w:t>
      </w:r>
      <w:r>
        <w:t>Head of Internal Audit</w:t>
      </w:r>
    </w:p>
    <w:p w14:paraId="065BF29C" w14:textId="4211C91D" w:rsidR="00BF5AFA" w:rsidRPr="00F42E1E" w:rsidRDefault="00BF5AFA" w:rsidP="00BF5AFA">
      <w:pPr>
        <w:pStyle w:val="Heading2"/>
        <w:spacing w:after="240"/>
        <w:rPr>
          <w:rFonts w:ascii="Arial" w:hAnsi="Arial"/>
          <w:sz w:val="28"/>
        </w:rPr>
      </w:pPr>
      <w:r w:rsidRPr="00F42E1E">
        <w:rPr>
          <w:rFonts w:ascii="Arial" w:hAnsi="Arial"/>
          <w:sz w:val="28"/>
        </w:rPr>
        <w:t>Date:</w:t>
      </w:r>
      <w:r w:rsidR="00C513AD">
        <w:rPr>
          <w:rFonts w:ascii="Arial" w:hAnsi="Arial"/>
          <w:sz w:val="28"/>
        </w:rPr>
        <w:t xml:space="preserve"> </w:t>
      </w:r>
      <w:r w:rsidR="007B305D">
        <w:rPr>
          <w:rFonts w:ascii="Arial" w:hAnsi="Arial"/>
          <w:sz w:val="28"/>
        </w:rPr>
        <w:t>13</w:t>
      </w:r>
      <w:r w:rsidR="00717B4C">
        <w:rPr>
          <w:rFonts w:ascii="Arial" w:hAnsi="Arial"/>
          <w:sz w:val="28"/>
        </w:rPr>
        <w:t>/</w:t>
      </w:r>
      <w:r w:rsidR="007B305D">
        <w:rPr>
          <w:rFonts w:ascii="Arial" w:hAnsi="Arial"/>
          <w:sz w:val="28"/>
        </w:rPr>
        <w:t>11</w:t>
      </w:r>
      <w:r w:rsidR="00717B4C">
        <w:rPr>
          <w:rFonts w:ascii="Arial" w:hAnsi="Arial"/>
          <w:sz w:val="28"/>
        </w:rPr>
        <w:t>/</w:t>
      </w:r>
      <w:r w:rsidR="007B305D">
        <w:rPr>
          <w:rFonts w:ascii="Arial" w:hAnsi="Arial"/>
          <w:sz w:val="28"/>
        </w:rPr>
        <w:t>23</w:t>
      </w:r>
    </w:p>
    <w:p w14:paraId="04C352A5" w14:textId="77777777" w:rsidR="00F42E1E" w:rsidRDefault="00F42E1E" w:rsidP="00F42E1E"/>
    <w:p w14:paraId="236185B6" w14:textId="070EA1AB"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C513AD">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3646F8BE" w:rsidR="003313EA" w:rsidRPr="00A406F3" w:rsidRDefault="003313EA" w:rsidP="003313EA">
      <w:pPr>
        <w:pStyle w:val="Heading3"/>
        <w:ind w:left="0" w:firstLine="0"/>
        <w:jc w:val="left"/>
      </w:pPr>
      <w:r w:rsidRPr="003313EA">
        <w:t xml:space="preserve">Ward Councillors </w:t>
      </w:r>
      <w:r>
        <w:t xml:space="preserve">notified: </w:t>
      </w:r>
      <w:r w:rsidR="00252A21" w:rsidRPr="00FC2633">
        <w:rPr>
          <w:b w:val="0"/>
          <w:bCs w:val="0"/>
        </w:rPr>
        <w:t xml:space="preserve">Yes </w:t>
      </w:r>
      <w:r w:rsidR="005550A9" w:rsidRPr="00FC2633">
        <w:rPr>
          <w:b w:val="0"/>
          <w:bCs w:val="0"/>
        </w:rPr>
        <w:t xml:space="preserve">the Edgware </w:t>
      </w:r>
      <w:r w:rsidR="00252A21" w:rsidRPr="00FC2633">
        <w:rPr>
          <w:b w:val="0"/>
          <w:bCs w:val="0"/>
        </w:rPr>
        <w:t xml:space="preserve">Ward Councillors </w:t>
      </w:r>
      <w:r w:rsidR="005550A9" w:rsidRPr="00FC2633">
        <w:rPr>
          <w:b w:val="0"/>
          <w:bCs w:val="0"/>
        </w:rPr>
        <w:t>have been notified and commented in</w:t>
      </w:r>
      <w:r w:rsidR="00FC2633">
        <w:rPr>
          <w:b w:val="0"/>
          <w:bCs w:val="0"/>
        </w:rPr>
        <w:t xml:space="preserve"> Ward Councillor comments</w:t>
      </w:r>
      <w:r w:rsidR="005550A9">
        <w:t xml:space="preserve"> </w:t>
      </w:r>
      <w:r w:rsidRPr="00A406F3">
        <w:t xml:space="preserve"> </w:t>
      </w:r>
    </w:p>
    <w:p w14:paraId="2A2D9472" w14:textId="0B6B4FD5" w:rsidR="003313EA" w:rsidRPr="00CD17C2" w:rsidRDefault="003313EA" w:rsidP="003313EA">
      <w:pPr>
        <w:pStyle w:val="Heading3"/>
        <w:spacing w:before="240"/>
        <w:rPr>
          <w:b w:val="0"/>
          <w:highlight w:val="yellow"/>
        </w:rPr>
      </w:pPr>
      <w:r w:rsidRPr="00202D79">
        <w:t>EqIA carried out:</w:t>
      </w:r>
      <w:r>
        <w:t xml:space="preserve">  </w:t>
      </w:r>
      <w:r w:rsidRPr="004D228A">
        <w:t>NO</w:t>
      </w:r>
    </w:p>
    <w:p w14:paraId="45F3BD63" w14:textId="77777777" w:rsidR="009E7293" w:rsidRPr="00CD17C2" w:rsidRDefault="009E7293" w:rsidP="003313EA">
      <w:pPr>
        <w:pStyle w:val="Infotext"/>
        <w:rPr>
          <w:i/>
          <w:color w:val="FF0000"/>
          <w:sz w:val="24"/>
          <w:szCs w:val="24"/>
          <w:highlight w:val="yellow"/>
        </w:rPr>
      </w:pPr>
    </w:p>
    <w:p w14:paraId="38B29962" w14:textId="27A21DCC" w:rsidR="00553854" w:rsidRPr="00C06632" w:rsidRDefault="00553854" w:rsidP="00553854">
      <w:pPr>
        <w:pStyle w:val="BodyText"/>
        <w:rPr>
          <w:i w:val="0"/>
          <w:iCs w:val="0"/>
        </w:rPr>
      </w:pPr>
      <w:r w:rsidRPr="004D228A">
        <w:rPr>
          <w:i w:val="0"/>
          <w:iCs w:val="0"/>
        </w:rPr>
        <w:t>There</w:t>
      </w:r>
      <w:r w:rsidRPr="004D228A">
        <w:rPr>
          <w:i w:val="0"/>
          <w:iCs w:val="0"/>
          <w:spacing w:val="-2"/>
        </w:rPr>
        <w:t xml:space="preserve"> </w:t>
      </w:r>
      <w:r w:rsidRPr="004D228A">
        <w:rPr>
          <w:i w:val="0"/>
          <w:iCs w:val="0"/>
        </w:rPr>
        <w:t>are</w:t>
      </w:r>
      <w:r w:rsidRPr="004D228A">
        <w:rPr>
          <w:i w:val="0"/>
          <w:iCs w:val="0"/>
          <w:spacing w:val="-4"/>
        </w:rPr>
        <w:t xml:space="preserve"> </w:t>
      </w:r>
      <w:r w:rsidRPr="004D228A">
        <w:rPr>
          <w:i w:val="0"/>
          <w:iCs w:val="0"/>
        </w:rPr>
        <w:t>no</w:t>
      </w:r>
      <w:r w:rsidRPr="004D228A">
        <w:rPr>
          <w:i w:val="0"/>
          <w:iCs w:val="0"/>
          <w:spacing w:val="-3"/>
        </w:rPr>
        <w:t xml:space="preserve"> </w:t>
      </w:r>
      <w:r w:rsidRPr="004D228A">
        <w:rPr>
          <w:i w:val="0"/>
          <w:iCs w:val="0"/>
        </w:rPr>
        <w:t>equalities</w:t>
      </w:r>
      <w:r w:rsidRPr="004D228A">
        <w:rPr>
          <w:i w:val="0"/>
          <w:iCs w:val="0"/>
          <w:spacing w:val="-4"/>
        </w:rPr>
        <w:t xml:space="preserve"> </w:t>
      </w:r>
      <w:r w:rsidRPr="004D228A">
        <w:rPr>
          <w:i w:val="0"/>
          <w:iCs w:val="0"/>
        </w:rPr>
        <w:t>Implication</w:t>
      </w:r>
      <w:r w:rsidRPr="004D228A">
        <w:rPr>
          <w:i w:val="0"/>
          <w:iCs w:val="0"/>
          <w:spacing w:val="-3"/>
        </w:rPr>
        <w:t xml:space="preserve"> </w:t>
      </w:r>
      <w:r w:rsidRPr="004D228A">
        <w:rPr>
          <w:i w:val="0"/>
          <w:iCs w:val="0"/>
        </w:rPr>
        <w:t>to this</w:t>
      </w:r>
      <w:r w:rsidRPr="004D228A">
        <w:rPr>
          <w:i w:val="0"/>
          <w:iCs w:val="0"/>
          <w:spacing w:val="-1"/>
        </w:rPr>
        <w:t xml:space="preserve"> </w:t>
      </w:r>
      <w:r w:rsidRPr="004D228A">
        <w:rPr>
          <w:i w:val="0"/>
          <w:iCs w:val="0"/>
        </w:rPr>
        <w:t>decision as covers all Wards and residents</w:t>
      </w:r>
      <w:r>
        <w:rPr>
          <w:i w:val="0"/>
          <w:iCs w:val="0"/>
        </w:rPr>
        <w:t xml:space="preserv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69B0FD6A" w:rsidR="00333FAA" w:rsidRPr="005808FB" w:rsidRDefault="00333FAA" w:rsidP="00CC18AC">
      <w:pPr>
        <w:pStyle w:val="Infotext"/>
        <w:spacing w:after="240"/>
        <w:rPr>
          <w:color w:val="FF0000"/>
        </w:rPr>
      </w:pPr>
      <w:r w:rsidRPr="004E47FC">
        <w:rPr>
          <w:b/>
        </w:rPr>
        <w:t xml:space="preserve">Contact:  </w:t>
      </w:r>
      <w:r w:rsidR="00CD17C2">
        <w:t>Michael Bradshaw</w:t>
      </w:r>
      <w:r w:rsidR="003E0F1B" w:rsidRPr="003E0F1B">
        <w:t xml:space="preserve"> </w:t>
      </w:r>
      <w:r w:rsidR="00CD17C2">
        <w:t xml:space="preserve">Flood Risk </w:t>
      </w:r>
      <w:r w:rsidR="003E0F1B" w:rsidRPr="003E0F1B">
        <w:t xml:space="preserve">Manager </w:t>
      </w:r>
      <w:hyperlink r:id="rId19" w:history="1">
        <w:r w:rsidR="00CD17C2" w:rsidRPr="00B037D8">
          <w:rPr>
            <w:rStyle w:val="Hyperlink"/>
          </w:rPr>
          <w:t>michael.bradshaw@harrow.gov.uk</w:t>
        </w:r>
      </w:hyperlink>
      <w:r w:rsidR="003E0F1B">
        <w:rPr>
          <w:color w:val="FF0000"/>
        </w:rPr>
        <w:t xml:space="preserve"> </w:t>
      </w:r>
    </w:p>
    <w:p w14:paraId="77C58D4B" w14:textId="46284ACB" w:rsidR="00333FAA" w:rsidRDefault="00333FAA" w:rsidP="00CC18AC">
      <w:pPr>
        <w:pStyle w:val="Infotext"/>
        <w:spacing w:after="240"/>
        <w:rPr>
          <w:b/>
        </w:rPr>
      </w:pPr>
      <w:r w:rsidRPr="004E47FC">
        <w:rPr>
          <w:b/>
        </w:rPr>
        <w:t xml:space="preserve">Background Papers: </w:t>
      </w:r>
      <w:r w:rsidR="005808FB">
        <w:rPr>
          <w:b/>
        </w:rPr>
        <w:t xml:space="preserve"> </w:t>
      </w:r>
      <w:r w:rsidR="003E0F1B" w:rsidRPr="00895892">
        <w:t>None</w:t>
      </w:r>
    </w:p>
    <w:p w14:paraId="3CCA5C3B" w14:textId="02A231B2" w:rsidR="000D4E36" w:rsidRPr="00717B4C" w:rsidRDefault="00842757" w:rsidP="00717B4C">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17B4C">
        <w:rPr>
          <w:rFonts w:ascii="Arial Black" w:hAnsi="Arial Black"/>
        </w:rPr>
        <w:t xml:space="preserve">: </w:t>
      </w:r>
      <w:r w:rsidRPr="003D78F6">
        <w:rPr>
          <w:b/>
        </w:rPr>
        <w:t xml:space="preserve">NO </w:t>
      </w:r>
    </w:p>
    <w:sectPr w:rsidR="000D4E36" w:rsidRPr="00717B4C" w:rsidSect="001614E0">
      <w:headerReference w:type="default" r:id="rId20"/>
      <w:headerReference w:type="first" r:id="rId21"/>
      <w:footerReference w:type="first" r:id="rId22"/>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C95E" w14:textId="77777777" w:rsidR="00666910" w:rsidRDefault="00666910">
      <w:r>
        <w:separator/>
      </w:r>
    </w:p>
  </w:endnote>
  <w:endnote w:type="continuationSeparator" w:id="0">
    <w:p w14:paraId="7C69FC33" w14:textId="77777777" w:rsidR="00666910" w:rsidRDefault="0066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7A56" w14:textId="77777777" w:rsidR="00666910" w:rsidRDefault="00666910">
      <w:r>
        <w:separator/>
      </w:r>
    </w:p>
  </w:footnote>
  <w:footnote w:type="continuationSeparator" w:id="0">
    <w:p w14:paraId="74C85AD6" w14:textId="77777777" w:rsidR="00666910" w:rsidRDefault="0066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A13"/>
    <w:multiLevelType w:val="hybridMultilevel"/>
    <w:tmpl w:val="87C88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613D"/>
    <w:multiLevelType w:val="multilevel"/>
    <w:tmpl w:val="08BC938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4C20D7F"/>
    <w:multiLevelType w:val="multilevel"/>
    <w:tmpl w:val="F16A39A6"/>
    <w:lvl w:ilvl="0">
      <w:start w:val="2"/>
      <w:numFmt w:val="decimal"/>
      <w:lvlText w:val="%1"/>
      <w:lvlJc w:val="left"/>
      <w:pPr>
        <w:ind w:left="960" w:hanging="788"/>
      </w:pPr>
      <w:rPr>
        <w:rFonts w:hint="default"/>
        <w:lang w:val="en-GB" w:eastAsia="en-US" w:bidi="ar-SA"/>
      </w:rPr>
    </w:lvl>
    <w:lvl w:ilvl="1">
      <w:start w:val="1"/>
      <w:numFmt w:val="decimal"/>
      <w:lvlText w:val="%1.%2"/>
      <w:lvlJc w:val="left"/>
      <w:pPr>
        <w:ind w:left="788" w:hanging="788"/>
      </w:pPr>
      <w:rPr>
        <w:rFonts w:ascii="Arial" w:eastAsia="Arial" w:hAnsi="Arial" w:cs="Arial" w:hint="default"/>
        <w:b/>
        <w:bCs/>
        <w:i w:val="0"/>
        <w:iCs w:val="0"/>
        <w:color w:val="auto"/>
        <w:w w:val="99"/>
        <w:sz w:val="24"/>
        <w:szCs w:val="24"/>
        <w:lang w:val="en-GB" w:eastAsia="en-US" w:bidi="ar-SA"/>
      </w:rPr>
    </w:lvl>
    <w:lvl w:ilvl="2">
      <w:numFmt w:val="bullet"/>
      <w:lvlText w:val="o"/>
      <w:lvlJc w:val="left"/>
      <w:pPr>
        <w:ind w:left="1680" w:hanging="360"/>
      </w:pPr>
      <w:rPr>
        <w:rFonts w:ascii="Courier New" w:eastAsia="Courier New" w:hAnsi="Courier New" w:cs="Courier New" w:hint="default"/>
        <w:b w:val="0"/>
        <w:bCs w:val="0"/>
        <w:i w:val="0"/>
        <w:iCs w:val="0"/>
        <w:w w:val="100"/>
        <w:sz w:val="24"/>
        <w:szCs w:val="24"/>
        <w:lang w:val="en-GB" w:eastAsia="en-US" w:bidi="ar-SA"/>
      </w:rPr>
    </w:lvl>
    <w:lvl w:ilvl="3">
      <w:numFmt w:val="bullet"/>
      <w:lvlText w:val="•"/>
      <w:lvlJc w:val="left"/>
      <w:pPr>
        <w:ind w:left="3406" w:hanging="360"/>
      </w:pPr>
      <w:rPr>
        <w:rFonts w:hint="default"/>
        <w:lang w:val="en-GB" w:eastAsia="en-US" w:bidi="ar-SA"/>
      </w:rPr>
    </w:lvl>
    <w:lvl w:ilvl="4">
      <w:numFmt w:val="bullet"/>
      <w:lvlText w:val="•"/>
      <w:lvlJc w:val="left"/>
      <w:pPr>
        <w:ind w:left="4269" w:hanging="360"/>
      </w:pPr>
      <w:rPr>
        <w:rFonts w:hint="default"/>
        <w:lang w:val="en-GB" w:eastAsia="en-US" w:bidi="ar-SA"/>
      </w:rPr>
    </w:lvl>
    <w:lvl w:ilvl="5">
      <w:numFmt w:val="bullet"/>
      <w:lvlText w:val="•"/>
      <w:lvlJc w:val="left"/>
      <w:pPr>
        <w:ind w:left="5132" w:hanging="360"/>
      </w:pPr>
      <w:rPr>
        <w:rFonts w:hint="default"/>
        <w:lang w:val="en-GB" w:eastAsia="en-US" w:bidi="ar-SA"/>
      </w:rPr>
    </w:lvl>
    <w:lvl w:ilvl="6">
      <w:numFmt w:val="bullet"/>
      <w:lvlText w:val="•"/>
      <w:lvlJc w:val="left"/>
      <w:pPr>
        <w:ind w:left="5996" w:hanging="360"/>
      </w:pPr>
      <w:rPr>
        <w:rFonts w:hint="default"/>
        <w:lang w:val="en-GB" w:eastAsia="en-US" w:bidi="ar-SA"/>
      </w:rPr>
    </w:lvl>
    <w:lvl w:ilvl="7">
      <w:numFmt w:val="bullet"/>
      <w:lvlText w:val="•"/>
      <w:lvlJc w:val="left"/>
      <w:pPr>
        <w:ind w:left="6859" w:hanging="360"/>
      </w:pPr>
      <w:rPr>
        <w:rFonts w:hint="default"/>
        <w:lang w:val="en-GB" w:eastAsia="en-US" w:bidi="ar-SA"/>
      </w:rPr>
    </w:lvl>
    <w:lvl w:ilvl="8">
      <w:numFmt w:val="bullet"/>
      <w:lvlText w:val="•"/>
      <w:lvlJc w:val="left"/>
      <w:pPr>
        <w:ind w:left="7722" w:hanging="360"/>
      </w:pPr>
      <w:rPr>
        <w:rFonts w:hint="default"/>
        <w:lang w:val="en-GB" w:eastAsia="en-US" w:bidi="ar-SA"/>
      </w:rPr>
    </w:lvl>
  </w:abstractNum>
  <w:abstractNum w:abstractNumId="9"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E29C6"/>
    <w:multiLevelType w:val="hybridMultilevel"/>
    <w:tmpl w:val="A712CADA"/>
    <w:lvl w:ilvl="0" w:tplc="FFFFFFFF">
      <w:start w:val="1"/>
      <w:numFmt w:val="decimal"/>
      <w:lvlText w:val="%1."/>
      <w:lvlJc w:val="left"/>
      <w:pPr>
        <w:ind w:left="463" w:hanging="360"/>
      </w:pPr>
      <w:rPr>
        <w:rFonts w:hint="default"/>
        <w:b w:val="0"/>
        <w:bCs w:val="0"/>
      </w:rPr>
    </w:lvl>
    <w:lvl w:ilvl="1" w:tplc="FFFFFFFF" w:tentative="1">
      <w:start w:val="1"/>
      <w:numFmt w:val="lowerLetter"/>
      <w:lvlText w:val="%2."/>
      <w:lvlJc w:val="left"/>
      <w:pPr>
        <w:ind w:left="1183" w:hanging="360"/>
      </w:pPr>
    </w:lvl>
    <w:lvl w:ilvl="2" w:tplc="FFFFFFFF" w:tentative="1">
      <w:start w:val="1"/>
      <w:numFmt w:val="lowerRoman"/>
      <w:lvlText w:val="%3."/>
      <w:lvlJc w:val="right"/>
      <w:pPr>
        <w:ind w:left="1903" w:hanging="180"/>
      </w:pPr>
    </w:lvl>
    <w:lvl w:ilvl="3" w:tplc="FFFFFFFF" w:tentative="1">
      <w:start w:val="1"/>
      <w:numFmt w:val="decimal"/>
      <w:lvlText w:val="%4."/>
      <w:lvlJc w:val="left"/>
      <w:pPr>
        <w:ind w:left="2623" w:hanging="360"/>
      </w:pPr>
    </w:lvl>
    <w:lvl w:ilvl="4" w:tplc="FFFFFFFF" w:tentative="1">
      <w:start w:val="1"/>
      <w:numFmt w:val="lowerLetter"/>
      <w:lvlText w:val="%5."/>
      <w:lvlJc w:val="left"/>
      <w:pPr>
        <w:ind w:left="3343" w:hanging="360"/>
      </w:pPr>
    </w:lvl>
    <w:lvl w:ilvl="5" w:tplc="FFFFFFFF" w:tentative="1">
      <w:start w:val="1"/>
      <w:numFmt w:val="lowerRoman"/>
      <w:lvlText w:val="%6."/>
      <w:lvlJc w:val="right"/>
      <w:pPr>
        <w:ind w:left="4063" w:hanging="180"/>
      </w:pPr>
    </w:lvl>
    <w:lvl w:ilvl="6" w:tplc="FFFFFFFF" w:tentative="1">
      <w:start w:val="1"/>
      <w:numFmt w:val="decimal"/>
      <w:lvlText w:val="%7."/>
      <w:lvlJc w:val="left"/>
      <w:pPr>
        <w:ind w:left="4783" w:hanging="360"/>
      </w:pPr>
    </w:lvl>
    <w:lvl w:ilvl="7" w:tplc="FFFFFFFF" w:tentative="1">
      <w:start w:val="1"/>
      <w:numFmt w:val="lowerLetter"/>
      <w:lvlText w:val="%8."/>
      <w:lvlJc w:val="left"/>
      <w:pPr>
        <w:ind w:left="5503" w:hanging="360"/>
      </w:pPr>
    </w:lvl>
    <w:lvl w:ilvl="8" w:tplc="FFFFFFFF" w:tentative="1">
      <w:start w:val="1"/>
      <w:numFmt w:val="lowerRoman"/>
      <w:lvlText w:val="%9."/>
      <w:lvlJc w:val="right"/>
      <w:pPr>
        <w:ind w:left="6223" w:hanging="180"/>
      </w:pPr>
    </w:lvl>
  </w:abstractNum>
  <w:abstractNum w:abstractNumId="24" w15:restartNumberingAfterBreak="0">
    <w:nsid w:val="3A35549A"/>
    <w:multiLevelType w:val="hybridMultilevel"/>
    <w:tmpl w:val="80EC464E"/>
    <w:lvl w:ilvl="0" w:tplc="FFFFFFFF">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8"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C55465"/>
    <w:multiLevelType w:val="hybridMultilevel"/>
    <w:tmpl w:val="F2485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273F51"/>
    <w:multiLevelType w:val="hybridMultilevel"/>
    <w:tmpl w:val="7ABCFB4E"/>
    <w:lvl w:ilvl="0" w:tplc="7C5AE828">
      <w:start w:val="1"/>
      <w:numFmt w:val="decimal"/>
      <w:lvlText w:val="%1."/>
      <w:lvlJc w:val="left"/>
      <w:pPr>
        <w:ind w:left="463" w:hanging="360"/>
      </w:pPr>
      <w:rPr>
        <w:rFonts w:hint="default"/>
        <w:b w:val="0"/>
        <w:bCs w:val="0"/>
        <w:i w:val="0"/>
        <w:iCs w:val="0"/>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8"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44645F3"/>
    <w:multiLevelType w:val="multilevel"/>
    <w:tmpl w:val="9C1C706C"/>
    <w:lvl w:ilvl="0">
      <w:start w:val="3"/>
      <w:numFmt w:val="decimal"/>
      <w:lvlText w:val="%1"/>
      <w:lvlJc w:val="left"/>
      <w:pPr>
        <w:ind w:left="475" w:hanging="236"/>
      </w:pPr>
      <w:rPr>
        <w:rFonts w:ascii="Arial" w:eastAsia="Arial" w:hAnsi="Arial" w:cs="Arial" w:hint="default"/>
        <w:b/>
        <w:bCs/>
        <w:i w:val="0"/>
        <w:iCs w:val="0"/>
        <w:w w:val="100"/>
        <w:sz w:val="28"/>
        <w:szCs w:val="28"/>
        <w:lang w:val="en-GB" w:eastAsia="en-US" w:bidi="ar-SA"/>
      </w:rPr>
    </w:lvl>
    <w:lvl w:ilvl="1">
      <w:start w:val="1"/>
      <w:numFmt w:val="decimal"/>
      <w:lvlText w:val="%1.%2"/>
      <w:lvlJc w:val="left"/>
      <w:pPr>
        <w:ind w:left="773" w:hanging="533"/>
      </w:pPr>
      <w:rPr>
        <w:rFonts w:ascii="Arial" w:eastAsia="Arial" w:hAnsi="Arial" w:cs="Arial" w:hint="default"/>
        <w:b w:val="0"/>
        <w:bCs w:val="0"/>
        <w:i w:val="0"/>
        <w:iCs w:val="0"/>
        <w:w w:val="99"/>
        <w:sz w:val="24"/>
        <w:szCs w:val="24"/>
        <w:lang w:val="en-GB" w:eastAsia="en-US" w:bidi="ar-SA"/>
      </w:rPr>
    </w:lvl>
    <w:lvl w:ilvl="2">
      <w:numFmt w:val="bullet"/>
      <w:lvlText w:val=""/>
      <w:lvlJc w:val="left"/>
      <w:pPr>
        <w:ind w:left="96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021" w:hanging="360"/>
      </w:pPr>
      <w:rPr>
        <w:rFonts w:hint="default"/>
        <w:lang w:val="en-GB" w:eastAsia="en-US" w:bidi="ar-SA"/>
      </w:rPr>
    </w:lvl>
    <w:lvl w:ilvl="4">
      <w:numFmt w:val="bullet"/>
      <w:lvlText w:val="•"/>
      <w:lvlJc w:val="left"/>
      <w:pPr>
        <w:ind w:left="3082" w:hanging="360"/>
      </w:pPr>
      <w:rPr>
        <w:rFonts w:hint="default"/>
        <w:lang w:val="en-GB" w:eastAsia="en-US" w:bidi="ar-SA"/>
      </w:rPr>
    </w:lvl>
    <w:lvl w:ilvl="5">
      <w:numFmt w:val="bullet"/>
      <w:lvlText w:val="•"/>
      <w:lvlJc w:val="left"/>
      <w:pPr>
        <w:ind w:left="4143" w:hanging="360"/>
      </w:pPr>
      <w:rPr>
        <w:rFonts w:hint="default"/>
        <w:lang w:val="en-GB" w:eastAsia="en-US" w:bidi="ar-SA"/>
      </w:rPr>
    </w:lvl>
    <w:lvl w:ilvl="6">
      <w:numFmt w:val="bullet"/>
      <w:lvlText w:val="•"/>
      <w:lvlJc w:val="left"/>
      <w:pPr>
        <w:ind w:left="5204" w:hanging="360"/>
      </w:pPr>
      <w:rPr>
        <w:rFonts w:hint="default"/>
        <w:lang w:val="en-GB" w:eastAsia="en-US" w:bidi="ar-SA"/>
      </w:rPr>
    </w:lvl>
    <w:lvl w:ilvl="7">
      <w:numFmt w:val="bullet"/>
      <w:lvlText w:val="•"/>
      <w:lvlJc w:val="left"/>
      <w:pPr>
        <w:ind w:left="6265" w:hanging="360"/>
      </w:pPr>
      <w:rPr>
        <w:rFonts w:hint="default"/>
        <w:lang w:val="en-GB" w:eastAsia="en-US" w:bidi="ar-SA"/>
      </w:rPr>
    </w:lvl>
    <w:lvl w:ilvl="8">
      <w:numFmt w:val="bullet"/>
      <w:lvlText w:val="•"/>
      <w:lvlJc w:val="left"/>
      <w:pPr>
        <w:ind w:left="7326" w:hanging="360"/>
      </w:pPr>
      <w:rPr>
        <w:rFonts w:hint="default"/>
        <w:lang w:val="en-GB" w:eastAsia="en-US" w:bidi="ar-SA"/>
      </w:rPr>
    </w:lvl>
  </w:abstractNum>
  <w:abstractNum w:abstractNumId="4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8C1A42"/>
    <w:multiLevelType w:val="hybridMultilevel"/>
    <w:tmpl w:val="366E8382"/>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462149"/>
    <w:multiLevelType w:val="hybridMultilevel"/>
    <w:tmpl w:val="4BAE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C823F0"/>
    <w:multiLevelType w:val="hybridMultilevel"/>
    <w:tmpl w:val="DB446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80826">
    <w:abstractNumId w:val="21"/>
  </w:num>
  <w:num w:numId="2" w16cid:durableId="257064866">
    <w:abstractNumId w:val="50"/>
  </w:num>
  <w:num w:numId="3" w16cid:durableId="2060467741">
    <w:abstractNumId w:val="18"/>
  </w:num>
  <w:num w:numId="4" w16cid:durableId="601306738">
    <w:abstractNumId w:val="55"/>
  </w:num>
  <w:num w:numId="5" w16cid:durableId="391001761">
    <w:abstractNumId w:val="49"/>
  </w:num>
  <w:num w:numId="6" w16cid:durableId="644969693">
    <w:abstractNumId w:val="20"/>
  </w:num>
  <w:num w:numId="7" w16cid:durableId="1267928284">
    <w:abstractNumId w:val="2"/>
  </w:num>
  <w:num w:numId="8" w16cid:durableId="2093893701">
    <w:abstractNumId w:val="28"/>
  </w:num>
  <w:num w:numId="9" w16cid:durableId="129053971">
    <w:abstractNumId w:val="29"/>
  </w:num>
  <w:num w:numId="10" w16cid:durableId="529951628">
    <w:abstractNumId w:val="52"/>
  </w:num>
  <w:num w:numId="11" w16cid:durableId="397167230">
    <w:abstractNumId w:val="15"/>
  </w:num>
  <w:num w:numId="12" w16cid:durableId="1276059689">
    <w:abstractNumId w:val="26"/>
  </w:num>
  <w:num w:numId="13" w16cid:durableId="1396662829">
    <w:abstractNumId w:val="27"/>
  </w:num>
  <w:num w:numId="14" w16cid:durableId="1643147661">
    <w:abstractNumId w:val="16"/>
  </w:num>
  <w:num w:numId="15" w16cid:durableId="1143692117">
    <w:abstractNumId w:val="40"/>
  </w:num>
  <w:num w:numId="16" w16cid:durableId="576406618">
    <w:abstractNumId w:val="19"/>
  </w:num>
  <w:num w:numId="17" w16cid:durableId="231888274">
    <w:abstractNumId w:val="45"/>
  </w:num>
  <w:num w:numId="18" w16cid:durableId="1260604424">
    <w:abstractNumId w:val="22"/>
  </w:num>
  <w:num w:numId="19" w16cid:durableId="1885410564">
    <w:abstractNumId w:val="51"/>
  </w:num>
  <w:num w:numId="20" w16cid:durableId="1359358741">
    <w:abstractNumId w:val="7"/>
  </w:num>
  <w:num w:numId="21" w16cid:durableId="1857186901">
    <w:abstractNumId w:val="1"/>
  </w:num>
  <w:num w:numId="22" w16cid:durableId="1266617340">
    <w:abstractNumId w:val="9"/>
  </w:num>
  <w:num w:numId="23" w16cid:durableId="908002835">
    <w:abstractNumId w:val="34"/>
  </w:num>
  <w:num w:numId="24" w16cid:durableId="1105155178">
    <w:abstractNumId w:val="11"/>
  </w:num>
  <w:num w:numId="25" w16cid:durableId="1672294054">
    <w:abstractNumId w:val="30"/>
  </w:num>
  <w:num w:numId="26" w16cid:durableId="855654384">
    <w:abstractNumId w:val="35"/>
  </w:num>
  <w:num w:numId="27" w16cid:durableId="857698903">
    <w:abstractNumId w:val="38"/>
  </w:num>
  <w:num w:numId="28" w16cid:durableId="571936011">
    <w:abstractNumId w:val="14"/>
  </w:num>
  <w:num w:numId="29" w16cid:durableId="1790002351">
    <w:abstractNumId w:val="48"/>
  </w:num>
  <w:num w:numId="30" w16cid:durableId="1617330022">
    <w:abstractNumId w:val="13"/>
  </w:num>
  <w:num w:numId="31" w16cid:durableId="2083478515">
    <w:abstractNumId w:val="39"/>
  </w:num>
  <w:num w:numId="32" w16cid:durableId="1698581848">
    <w:abstractNumId w:val="43"/>
  </w:num>
  <w:num w:numId="33" w16cid:durableId="308706256">
    <w:abstractNumId w:val="46"/>
  </w:num>
  <w:num w:numId="34" w16cid:durableId="1151672782">
    <w:abstractNumId w:val="12"/>
  </w:num>
  <w:num w:numId="35" w16cid:durableId="786051145">
    <w:abstractNumId w:val="31"/>
  </w:num>
  <w:num w:numId="36" w16cid:durableId="701174353">
    <w:abstractNumId w:val="5"/>
  </w:num>
  <w:num w:numId="37" w16cid:durableId="102389040">
    <w:abstractNumId w:val="25"/>
  </w:num>
  <w:num w:numId="38" w16cid:durableId="312101846">
    <w:abstractNumId w:val="56"/>
  </w:num>
  <w:num w:numId="39" w16cid:durableId="925066606">
    <w:abstractNumId w:val="10"/>
  </w:num>
  <w:num w:numId="40" w16cid:durableId="1861581520">
    <w:abstractNumId w:val="6"/>
  </w:num>
  <w:num w:numId="41" w16cid:durableId="1942757786">
    <w:abstractNumId w:val="47"/>
  </w:num>
  <w:num w:numId="42" w16cid:durableId="1914587986">
    <w:abstractNumId w:val="57"/>
  </w:num>
  <w:num w:numId="43" w16cid:durableId="2073849977">
    <w:abstractNumId w:val="42"/>
  </w:num>
  <w:num w:numId="44" w16cid:durableId="1367177709">
    <w:abstractNumId w:val="4"/>
  </w:num>
  <w:num w:numId="45" w16cid:durableId="1121729967">
    <w:abstractNumId w:val="17"/>
  </w:num>
  <w:num w:numId="46" w16cid:durableId="1341591366">
    <w:abstractNumId w:val="33"/>
  </w:num>
  <w:num w:numId="47" w16cid:durableId="333185153">
    <w:abstractNumId w:val="32"/>
  </w:num>
  <w:num w:numId="48" w16cid:durableId="191116631">
    <w:abstractNumId w:val="8"/>
  </w:num>
  <w:num w:numId="49" w16cid:durableId="243073266">
    <w:abstractNumId w:val="41"/>
  </w:num>
  <w:num w:numId="50" w16cid:durableId="1332489272">
    <w:abstractNumId w:val="3"/>
  </w:num>
  <w:num w:numId="51" w16cid:durableId="1092556257">
    <w:abstractNumId w:val="0"/>
  </w:num>
  <w:num w:numId="52" w16cid:durableId="467553194">
    <w:abstractNumId w:val="37"/>
  </w:num>
  <w:num w:numId="53" w16cid:durableId="31737558">
    <w:abstractNumId w:val="36"/>
  </w:num>
  <w:num w:numId="54" w16cid:durableId="2030327827">
    <w:abstractNumId w:val="44"/>
  </w:num>
  <w:num w:numId="55" w16cid:durableId="1524856875">
    <w:abstractNumId w:val="23"/>
  </w:num>
  <w:num w:numId="56" w16cid:durableId="1465732967">
    <w:abstractNumId w:val="53"/>
  </w:num>
  <w:num w:numId="57" w16cid:durableId="1273392909">
    <w:abstractNumId w:val="24"/>
  </w:num>
  <w:num w:numId="58" w16cid:durableId="135896974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619"/>
    <w:rsid w:val="00003A32"/>
    <w:rsid w:val="00005D4A"/>
    <w:rsid w:val="00005FDF"/>
    <w:rsid w:val="0002400E"/>
    <w:rsid w:val="00026ADB"/>
    <w:rsid w:val="00032258"/>
    <w:rsid w:val="00035897"/>
    <w:rsid w:val="0004029A"/>
    <w:rsid w:val="00046DD3"/>
    <w:rsid w:val="000474E3"/>
    <w:rsid w:val="000475CF"/>
    <w:rsid w:val="0005235A"/>
    <w:rsid w:val="0005395B"/>
    <w:rsid w:val="00057D53"/>
    <w:rsid w:val="0006034E"/>
    <w:rsid w:val="00063783"/>
    <w:rsid w:val="00073765"/>
    <w:rsid w:val="00075270"/>
    <w:rsid w:val="00076C7F"/>
    <w:rsid w:val="00086F70"/>
    <w:rsid w:val="00087849"/>
    <w:rsid w:val="00090C42"/>
    <w:rsid w:val="000918A0"/>
    <w:rsid w:val="000929A6"/>
    <w:rsid w:val="00095FA1"/>
    <w:rsid w:val="000A0D3A"/>
    <w:rsid w:val="000A38E3"/>
    <w:rsid w:val="000A5EA2"/>
    <w:rsid w:val="000A6168"/>
    <w:rsid w:val="000A7084"/>
    <w:rsid w:val="000B1B45"/>
    <w:rsid w:val="000B5015"/>
    <w:rsid w:val="000B6444"/>
    <w:rsid w:val="000B788F"/>
    <w:rsid w:val="000B7C66"/>
    <w:rsid w:val="000D34B9"/>
    <w:rsid w:val="000D4E36"/>
    <w:rsid w:val="000D542C"/>
    <w:rsid w:val="000D6ECF"/>
    <w:rsid w:val="000E0D18"/>
    <w:rsid w:val="000E5788"/>
    <w:rsid w:val="000E62FE"/>
    <w:rsid w:val="000F32E9"/>
    <w:rsid w:val="000F49E8"/>
    <w:rsid w:val="00103A5D"/>
    <w:rsid w:val="00105632"/>
    <w:rsid w:val="00105B8A"/>
    <w:rsid w:val="001068C8"/>
    <w:rsid w:val="00107532"/>
    <w:rsid w:val="00110DFF"/>
    <w:rsid w:val="001136DF"/>
    <w:rsid w:val="001161E4"/>
    <w:rsid w:val="00121E33"/>
    <w:rsid w:val="001227D3"/>
    <w:rsid w:val="001232C8"/>
    <w:rsid w:val="00124561"/>
    <w:rsid w:val="00125A26"/>
    <w:rsid w:val="0012686D"/>
    <w:rsid w:val="001273E5"/>
    <w:rsid w:val="00130007"/>
    <w:rsid w:val="00132C82"/>
    <w:rsid w:val="00143250"/>
    <w:rsid w:val="001449F6"/>
    <w:rsid w:val="0014526F"/>
    <w:rsid w:val="00145A4A"/>
    <w:rsid w:val="00145D17"/>
    <w:rsid w:val="001472A8"/>
    <w:rsid w:val="001476B6"/>
    <w:rsid w:val="00147E6F"/>
    <w:rsid w:val="001508B6"/>
    <w:rsid w:val="0015269C"/>
    <w:rsid w:val="0015376F"/>
    <w:rsid w:val="00156780"/>
    <w:rsid w:val="001614E0"/>
    <w:rsid w:val="00171BD8"/>
    <w:rsid w:val="00173276"/>
    <w:rsid w:val="0017653E"/>
    <w:rsid w:val="0018103C"/>
    <w:rsid w:val="00181C6C"/>
    <w:rsid w:val="00182B01"/>
    <w:rsid w:val="0018386F"/>
    <w:rsid w:val="001840D2"/>
    <w:rsid w:val="00184142"/>
    <w:rsid w:val="001846CF"/>
    <w:rsid w:val="001849AB"/>
    <w:rsid w:val="0019039B"/>
    <w:rsid w:val="001966D7"/>
    <w:rsid w:val="0019725A"/>
    <w:rsid w:val="001A0F23"/>
    <w:rsid w:val="001A2844"/>
    <w:rsid w:val="001B0B6E"/>
    <w:rsid w:val="001B19E0"/>
    <w:rsid w:val="001B2186"/>
    <w:rsid w:val="001B4897"/>
    <w:rsid w:val="001B5853"/>
    <w:rsid w:val="001B7DBE"/>
    <w:rsid w:val="001C4D2E"/>
    <w:rsid w:val="001C7E35"/>
    <w:rsid w:val="001D1209"/>
    <w:rsid w:val="001D3ADD"/>
    <w:rsid w:val="001E0646"/>
    <w:rsid w:val="001E0B90"/>
    <w:rsid w:val="001E1828"/>
    <w:rsid w:val="001E1CA6"/>
    <w:rsid w:val="001E3C06"/>
    <w:rsid w:val="001F0037"/>
    <w:rsid w:val="001F0BE9"/>
    <w:rsid w:val="001F593E"/>
    <w:rsid w:val="001F6AFD"/>
    <w:rsid w:val="0020033C"/>
    <w:rsid w:val="002021EC"/>
    <w:rsid w:val="00202CC2"/>
    <w:rsid w:val="00202D79"/>
    <w:rsid w:val="00205D2F"/>
    <w:rsid w:val="00212CE4"/>
    <w:rsid w:val="00215E8F"/>
    <w:rsid w:val="00217DB2"/>
    <w:rsid w:val="00220AC7"/>
    <w:rsid w:val="00221A93"/>
    <w:rsid w:val="00225F88"/>
    <w:rsid w:val="002265AC"/>
    <w:rsid w:val="00226A4C"/>
    <w:rsid w:val="002322BB"/>
    <w:rsid w:val="00235532"/>
    <w:rsid w:val="002418AE"/>
    <w:rsid w:val="00243249"/>
    <w:rsid w:val="002437B3"/>
    <w:rsid w:val="00243967"/>
    <w:rsid w:val="00246F0D"/>
    <w:rsid w:val="00250D3C"/>
    <w:rsid w:val="00251254"/>
    <w:rsid w:val="00252A21"/>
    <w:rsid w:val="002548D1"/>
    <w:rsid w:val="00257527"/>
    <w:rsid w:val="0026021C"/>
    <w:rsid w:val="00261820"/>
    <w:rsid w:val="002641D8"/>
    <w:rsid w:val="0026763A"/>
    <w:rsid w:val="0027283B"/>
    <w:rsid w:val="00272AEB"/>
    <w:rsid w:val="00273DEC"/>
    <w:rsid w:val="00276332"/>
    <w:rsid w:val="00277052"/>
    <w:rsid w:val="0028019B"/>
    <w:rsid w:val="00282E73"/>
    <w:rsid w:val="00282F19"/>
    <w:rsid w:val="00283CAB"/>
    <w:rsid w:val="0028525A"/>
    <w:rsid w:val="00286A9C"/>
    <w:rsid w:val="0029185B"/>
    <w:rsid w:val="00291FBD"/>
    <w:rsid w:val="002927D9"/>
    <w:rsid w:val="00292933"/>
    <w:rsid w:val="002A2446"/>
    <w:rsid w:val="002A3FEF"/>
    <w:rsid w:val="002A40E0"/>
    <w:rsid w:val="002A45C8"/>
    <w:rsid w:val="002A7121"/>
    <w:rsid w:val="002B088D"/>
    <w:rsid w:val="002B54A6"/>
    <w:rsid w:val="002B63BF"/>
    <w:rsid w:val="002B6AC3"/>
    <w:rsid w:val="002B7454"/>
    <w:rsid w:val="002C2767"/>
    <w:rsid w:val="002C3445"/>
    <w:rsid w:val="002C4012"/>
    <w:rsid w:val="002C48D7"/>
    <w:rsid w:val="002C699C"/>
    <w:rsid w:val="002E1B34"/>
    <w:rsid w:val="002E4F98"/>
    <w:rsid w:val="002E574F"/>
    <w:rsid w:val="002F0138"/>
    <w:rsid w:val="002F3EE9"/>
    <w:rsid w:val="002F58D0"/>
    <w:rsid w:val="002F643F"/>
    <w:rsid w:val="002F7843"/>
    <w:rsid w:val="00307F76"/>
    <w:rsid w:val="00310D9C"/>
    <w:rsid w:val="00312A7A"/>
    <w:rsid w:val="00314B90"/>
    <w:rsid w:val="00321FBB"/>
    <w:rsid w:val="003223B4"/>
    <w:rsid w:val="00324BFD"/>
    <w:rsid w:val="00327E13"/>
    <w:rsid w:val="00330832"/>
    <w:rsid w:val="00330C48"/>
    <w:rsid w:val="003313EA"/>
    <w:rsid w:val="0033264A"/>
    <w:rsid w:val="00333FAA"/>
    <w:rsid w:val="003355D7"/>
    <w:rsid w:val="00344B16"/>
    <w:rsid w:val="00344F01"/>
    <w:rsid w:val="00345BCE"/>
    <w:rsid w:val="00347811"/>
    <w:rsid w:val="00354052"/>
    <w:rsid w:val="0036201C"/>
    <w:rsid w:val="00364B62"/>
    <w:rsid w:val="00376768"/>
    <w:rsid w:val="00377569"/>
    <w:rsid w:val="00380CD8"/>
    <w:rsid w:val="00380F87"/>
    <w:rsid w:val="003824AE"/>
    <w:rsid w:val="003A04DA"/>
    <w:rsid w:val="003A0BDD"/>
    <w:rsid w:val="003B302F"/>
    <w:rsid w:val="003B5AC0"/>
    <w:rsid w:val="003B730E"/>
    <w:rsid w:val="003C0282"/>
    <w:rsid w:val="003C03E9"/>
    <w:rsid w:val="003C069F"/>
    <w:rsid w:val="003C0BFA"/>
    <w:rsid w:val="003C0E63"/>
    <w:rsid w:val="003C270D"/>
    <w:rsid w:val="003C2CD6"/>
    <w:rsid w:val="003C31FF"/>
    <w:rsid w:val="003C495C"/>
    <w:rsid w:val="003D0F47"/>
    <w:rsid w:val="003D20DA"/>
    <w:rsid w:val="003D3C74"/>
    <w:rsid w:val="003D4335"/>
    <w:rsid w:val="003E08CC"/>
    <w:rsid w:val="003E0F1B"/>
    <w:rsid w:val="003E246D"/>
    <w:rsid w:val="003E6190"/>
    <w:rsid w:val="003E698E"/>
    <w:rsid w:val="003F17F5"/>
    <w:rsid w:val="003F200F"/>
    <w:rsid w:val="003F3AFD"/>
    <w:rsid w:val="004006F0"/>
    <w:rsid w:val="00403233"/>
    <w:rsid w:val="004045B5"/>
    <w:rsid w:val="004076C8"/>
    <w:rsid w:val="00407E15"/>
    <w:rsid w:val="004126B2"/>
    <w:rsid w:val="004207E3"/>
    <w:rsid w:val="00420B0A"/>
    <w:rsid w:val="0042179F"/>
    <w:rsid w:val="00421A4C"/>
    <w:rsid w:val="0042363B"/>
    <w:rsid w:val="00423680"/>
    <w:rsid w:val="004238C2"/>
    <w:rsid w:val="00425DE5"/>
    <w:rsid w:val="00433036"/>
    <w:rsid w:val="0043330F"/>
    <w:rsid w:val="004338B9"/>
    <w:rsid w:val="00435B5D"/>
    <w:rsid w:val="004363F7"/>
    <w:rsid w:val="00441334"/>
    <w:rsid w:val="00442DDB"/>
    <w:rsid w:val="0044525C"/>
    <w:rsid w:val="004505AC"/>
    <w:rsid w:val="004553F1"/>
    <w:rsid w:val="00457C3A"/>
    <w:rsid w:val="00463653"/>
    <w:rsid w:val="00466AB2"/>
    <w:rsid w:val="00470109"/>
    <w:rsid w:val="00471C1F"/>
    <w:rsid w:val="00474B13"/>
    <w:rsid w:val="004809FA"/>
    <w:rsid w:val="004839F5"/>
    <w:rsid w:val="00483A5B"/>
    <w:rsid w:val="0048413C"/>
    <w:rsid w:val="00487222"/>
    <w:rsid w:val="00497EE9"/>
    <w:rsid w:val="004A102A"/>
    <w:rsid w:val="004A616D"/>
    <w:rsid w:val="004B51FD"/>
    <w:rsid w:val="004B66CA"/>
    <w:rsid w:val="004C0E95"/>
    <w:rsid w:val="004C2D09"/>
    <w:rsid w:val="004C3FD4"/>
    <w:rsid w:val="004C4A75"/>
    <w:rsid w:val="004C58CD"/>
    <w:rsid w:val="004D228A"/>
    <w:rsid w:val="004D2DA0"/>
    <w:rsid w:val="004E14A4"/>
    <w:rsid w:val="004E39AF"/>
    <w:rsid w:val="004E3CA0"/>
    <w:rsid w:val="004F07BC"/>
    <w:rsid w:val="004F54BD"/>
    <w:rsid w:val="004F56C5"/>
    <w:rsid w:val="004F6124"/>
    <w:rsid w:val="004F65C5"/>
    <w:rsid w:val="00501308"/>
    <w:rsid w:val="0050194F"/>
    <w:rsid w:val="00503CEE"/>
    <w:rsid w:val="00505FBF"/>
    <w:rsid w:val="00506185"/>
    <w:rsid w:val="00506B9E"/>
    <w:rsid w:val="005072E7"/>
    <w:rsid w:val="00507572"/>
    <w:rsid w:val="0051034F"/>
    <w:rsid w:val="0051446A"/>
    <w:rsid w:val="005354D0"/>
    <w:rsid w:val="00536465"/>
    <w:rsid w:val="005366A3"/>
    <w:rsid w:val="0054172C"/>
    <w:rsid w:val="00541ADD"/>
    <w:rsid w:val="00542373"/>
    <w:rsid w:val="00543E65"/>
    <w:rsid w:val="00545781"/>
    <w:rsid w:val="0054590F"/>
    <w:rsid w:val="005459EC"/>
    <w:rsid w:val="00553854"/>
    <w:rsid w:val="005550A9"/>
    <w:rsid w:val="005561F9"/>
    <w:rsid w:val="005570BC"/>
    <w:rsid w:val="005601BB"/>
    <w:rsid w:val="00563EA4"/>
    <w:rsid w:val="00567985"/>
    <w:rsid w:val="005718B5"/>
    <w:rsid w:val="005808FB"/>
    <w:rsid w:val="005811F8"/>
    <w:rsid w:val="00582605"/>
    <w:rsid w:val="00591016"/>
    <w:rsid w:val="00593C9B"/>
    <w:rsid w:val="00593F78"/>
    <w:rsid w:val="005B01FF"/>
    <w:rsid w:val="005B3F67"/>
    <w:rsid w:val="005B569E"/>
    <w:rsid w:val="005C4C52"/>
    <w:rsid w:val="005C6C02"/>
    <w:rsid w:val="005D093F"/>
    <w:rsid w:val="005D2E8E"/>
    <w:rsid w:val="005D5079"/>
    <w:rsid w:val="005D548F"/>
    <w:rsid w:val="005D5B96"/>
    <w:rsid w:val="005D6EF5"/>
    <w:rsid w:val="005E2798"/>
    <w:rsid w:val="005E3A10"/>
    <w:rsid w:val="005E4BF6"/>
    <w:rsid w:val="005E7509"/>
    <w:rsid w:val="005F2468"/>
    <w:rsid w:val="005F30EA"/>
    <w:rsid w:val="005F4F99"/>
    <w:rsid w:val="005F6B9A"/>
    <w:rsid w:val="005F72EC"/>
    <w:rsid w:val="00601D7F"/>
    <w:rsid w:val="00602C55"/>
    <w:rsid w:val="006030BC"/>
    <w:rsid w:val="00605A4C"/>
    <w:rsid w:val="006145EE"/>
    <w:rsid w:val="00614977"/>
    <w:rsid w:val="00616FD0"/>
    <w:rsid w:val="0063103F"/>
    <w:rsid w:val="00632156"/>
    <w:rsid w:val="00633437"/>
    <w:rsid w:val="00645B8B"/>
    <w:rsid w:val="00650616"/>
    <w:rsid w:val="006521EC"/>
    <w:rsid w:val="00654BB9"/>
    <w:rsid w:val="00655044"/>
    <w:rsid w:val="00660E30"/>
    <w:rsid w:val="006667EF"/>
    <w:rsid w:val="00666910"/>
    <w:rsid w:val="00666922"/>
    <w:rsid w:val="00670F17"/>
    <w:rsid w:val="006710C7"/>
    <w:rsid w:val="006771E3"/>
    <w:rsid w:val="00681573"/>
    <w:rsid w:val="006857C5"/>
    <w:rsid w:val="00690908"/>
    <w:rsid w:val="0069096D"/>
    <w:rsid w:val="00692C40"/>
    <w:rsid w:val="00696A83"/>
    <w:rsid w:val="00697B77"/>
    <w:rsid w:val="006A354E"/>
    <w:rsid w:val="006A5020"/>
    <w:rsid w:val="006A798D"/>
    <w:rsid w:val="006B0CE9"/>
    <w:rsid w:val="006B307C"/>
    <w:rsid w:val="006B459A"/>
    <w:rsid w:val="006C1AD1"/>
    <w:rsid w:val="006C580A"/>
    <w:rsid w:val="006C6DEE"/>
    <w:rsid w:val="006D171A"/>
    <w:rsid w:val="006D1E69"/>
    <w:rsid w:val="006E1332"/>
    <w:rsid w:val="006E3E79"/>
    <w:rsid w:val="006E483A"/>
    <w:rsid w:val="006F057C"/>
    <w:rsid w:val="006F0772"/>
    <w:rsid w:val="006F22DA"/>
    <w:rsid w:val="006F2EB3"/>
    <w:rsid w:val="006F517F"/>
    <w:rsid w:val="006F775F"/>
    <w:rsid w:val="00701A1B"/>
    <w:rsid w:val="00703D7D"/>
    <w:rsid w:val="00703DE1"/>
    <w:rsid w:val="007112D1"/>
    <w:rsid w:val="00711472"/>
    <w:rsid w:val="007116B1"/>
    <w:rsid w:val="00714BEE"/>
    <w:rsid w:val="00715A27"/>
    <w:rsid w:val="00717B4C"/>
    <w:rsid w:val="00721215"/>
    <w:rsid w:val="00721746"/>
    <w:rsid w:val="0072312D"/>
    <w:rsid w:val="007242E6"/>
    <w:rsid w:val="007336A9"/>
    <w:rsid w:val="00735E37"/>
    <w:rsid w:val="00735F74"/>
    <w:rsid w:val="007400C5"/>
    <w:rsid w:val="007400CF"/>
    <w:rsid w:val="00740D45"/>
    <w:rsid w:val="007476CD"/>
    <w:rsid w:val="00747EF5"/>
    <w:rsid w:val="00755D22"/>
    <w:rsid w:val="007631DF"/>
    <w:rsid w:val="007657F1"/>
    <w:rsid w:val="00775E65"/>
    <w:rsid w:val="00777383"/>
    <w:rsid w:val="00780874"/>
    <w:rsid w:val="00787F01"/>
    <w:rsid w:val="00790888"/>
    <w:rsid w:val="007968B5"/>
    <w:rsid w:val="007A27E1"/>
    <w:rsid w:val="007A3133"/>
    <w:rsid w:val="007A3394"/>
    <w:rsid w:val="007A4D03"/>
    <w:rsid w:val="007A6823"/>
    <w:rsid w:val="007B23FC"/>
    <w:rsid w:val="007B305D"/>
    <w:rsid w:val="007B6FE5"/>
    <w:rsid w:val="007C0482"/>
    <w:rsid w:val="007C061A"/>
    <w:rsid w:val="007C4241"/>
    <w:rsid w:val="007C5DBF"/>
    <w:rsid w:val="007C66C7"/>
    <w:rsid w:val="007D0C1D"/>
    <w:rsid w:val="007D1798"/>
    <w:rsid w:val="007D2000"/>
    <w:rsid w:val="007D4DBF"/>
    <w:rsid w:val="007D5814"/>
    <w:rsid w:val="007D6D78"/>
    <w:rsid w:val="007E18C8"/>
    <w:rsid w:val="007E4732"/>
    <w:rsid w:val="007E4BA4"/>
    <w:rsid w:val="007E6664"/>
    <w:rsid w:val="007E6BB2"/>
    <w:rsid w:val="007F004E"/>
    <w:rsid w:val="007F0426"/>
    <w:rsid w:val="007F0617"/>
    <w:rsid w:val="007F335A"/>
    <w:rsid w:val="007F7582"/>
    <w:rsid w:val="0080016C"/>
    <w:rsid w:val="00800562"/>
    <w:rsid w:val="008026F0"/>
    <w:rsid w:val="00803104"/>
    <w:rsid w:val="00803F0E"/>
    <w:rsid w:val="008051DC"/>
    <w:rsid w:val="00805BDB"/>
    <w:rsid w:val="008079E5"/>
    <w:rsid w:val="00810705"/>
    <w:rsid w:val="00811EEA"/>
    <w:rsid w:val="00812901"/>
    <w:rsid w:val="008132E4"/>
    <w:rsid w:val="00814F59"/>
    <w:rsid w:val="00820925"/>
    <w:rsid w:val="00826B9A"/>
    <w:rsid w:val="00827E98"/>
    <w:rsid w:val="00833DCD"/>
    <w:rsid w:val="00834AF8"/>
    <w:rsid w:val="00835E10"/>
    <w:rsid w:val="00842757"/>
    <w:rsid w:val="00843CC2"/>
    <w:rsid w:val="00850D57"/>
    <w:rsid w:val="0085266D"/>
    <w:rsid w:val="00853039"/>
    <w:rsid w:val="00870A16"/>
    <w:rsid w:val="00870CC8"/>
    <w:rsid w:val="00872976"/>
    <w:rsid w:val="00873CD0"/>
    <w:rsid w:val="00874AFB"/>
    <w:rsid w:val="00884AFE"/>
    <w:rsid w:val="00886B99"/>
    <w:rsid w:val="00886FDF"/>
    <w:rsid w:val="00895892"/>
    <w:rsid w:val="008A38A1"/>
    <w:rsid w:val="008A4EB0"/>
    <w:rsid w:val="008A5AA0"/>
    <w:rsid w:val="008B4C37"/>
    <w:rsid w:val="008B73D7"/>
    <w:rsid w:val="008C0306"/>
    <w:rsid w:val="008C0825"/>
    <w:rsid w:val="008C4A57"/>
    <w:rsid w:val="008C4CF4"/>
    <w:rsid w:val="008C4D2E"/>
    <w:rsid w:val="008D0B93"/>
    <w:rsid w:val="008D1141"/>
    <w:rsid w:val="008D188B"/>
    <w:rsid w:val="008D4944"/>
    <w:rsid w:val="008D724F"/>
    <w:rsid w:val="008E224D"/>
    <w:rsid w:val="008E4E8E"/>
    <w:rsid w:val="008F1F7A"/>
    <w:rsid w:val="008F5060"/>
    <w:rsid w:val="008F58A0"/>
    <w:rsid w:val="008F648B"/>
    <w:rsid w:val="0090158B"/>
    <w:rsid w:val="00903FA3"/>
    <w:rsid w:val="00906C09"/>
    <w:rsid w:val="009119EC"/>
    <w:rsid w:val="00915928"/>
    <w:rsid w:val="00916752"/>
    <w:rsid w:val="00917C5E"/>
    <w:rsid w:val="00924AA1"/>
    <w:rsid w:val="0092530B"/>
    <w:rsid w:val="00932AEF"/>
    <w:rsid w:val="00933520"/>
    <w:rsid w:val="009341A6"/>
    <w:rsid w:val="00940BFE"/>
    <w:rsid w:val="00940DB9"/>
    <w:rsid w:val="0094208C"/>
    <w:rsid w:val="00942F17"/>
    <w:rsid w:val="00943236"/>
    <w:rsid w:val="0095014D"/>
    <w:rsid w:val="00952CEF"/>
    <w:rsid w:val="00953531"/>
    <w:rsid w:val="00953B26"/>
    <w:rsid w:val="00953E6B"/>
    <w:rsid w:val="00955421"/>
    <w:rsid w:val="00957CB0"/>
    <w:rsid w:val="00970D18"/>
    <w:rsid w:val="0097411D"/>
    <w:rsid w:val="0098323C"/>
    <w:rsid w:val="00985A75"/>
    <w:rsid w:val="00990411"/>
    <w:rsid w:val="00990E9C"/>
    <w:rsid w:val="00992189"/>
    <w:rsid w:val="00994542"/>
    <w:rsid w:val="00994908"/>
    <w:rsid w:val="00995768"/>
    <w:rsid w:val="009A291F"/>
    <w:rsid w:val="009A5B0E"/>
    <w:rsid w:val="009A7FF5"/>
    <w:rsid w:val="009B06BB"/>
    <w:rsid w:val="009B0CEC"/>
    <w:rsid w:val="009B160B"/>
    <w:rsid w:val="009B1FCC"/>
    <w:rsid w:val="009B78B2"/>
    <w:rsid w:val="009C237B"/>
    <w:rsid w:val="009C4DD1"/>
    <w:rsid w:val="009D607A"/>
    <w:rsid w:val="009D6222"/>
    <w:rsid w:val="009D731C"/>
    <w:rsid w:val="009E124E"/>
    <w:rsid w:val="009E5A93"/>
    <w:rsid w:val="009E67A3"/>
    <w:rsid w:val="009E6944"/>
    <w:rsid w:val="009E7293"/>
    <w:rsid w:val="009F1ABA"/>
    <w:rsid w:val="009F3154"/>
    <w:rsid w:val="009F692E"/>
    <w:rsid w:val="00A02782"/>
    <w:rsid w:val="00A05A16"/>
    <w:rsid w:val="00A06992"/>
    <w:rsid w:val="00A072BA"/>
    <w:rsid w:val="00A07D3C"/>
    <w:rsid w:val="00A07D45"/>
    <w:rsid w:val="00A10BFC"/>
    <w:rsid w:val="00A1112E"/>
    <w:rsid w:val="00A1211C"/>
    <w:rsid w:val="00A12437"/>
    <w:rsid w:val="00A14068"/>
    <w:rsid w:val="00A20113"/>
    <w:rsid w:val="00A20D78"/>
    <w:rsid w:val="00A2215F"/>
    <w:rsid w:val="00A22839"/>
    <w:rsid w:val="00A23E19"/>
    <w:rsid w:val="00A2699F"/>
    <w:rsid w:val="00A271D7"/>
    <w:rsid w:val="00A3077B"/>
    <w:rsid w:val="00A31C26"/>
    <w:rsid w:val="00A33185"/>
    <w:rsid w:val="00A348ED"/>
    <w:rsid w:val="00A34A67"/>
    <w:rsid w:val="00A34F91"/>
    <w:rsid w:val="00A37AD2"/>
    <w:rsid w:val="00A44A3D"/>
    <w:rsid w:val="00A4657C"/>
    <w:rsid w:val="00A46AC1"/>
    <w:rsid w:val="00A476EC"/>
    <w:rsid w:val="00A47B80"/>
    <w:rsid w:val="00A50831"/>
    <w:rsid w:val="00A53B04"/>
    <w:rsid w:val="00A54961"/>
    <w:rsid w:val="00A661F4"/>
    <w:rsid w:val="00A66326"/>
    <w:rsid w:val="00A72281"/>
    <w:rsid w:val="00A7271A"/>
    <w:rsid w:val="00A74D79"/>
    <w:rsid w:val="00A80A1D"/>
    <w:rsid w:val="00A81357"/>
    <w:rsid w:val="00A8149A"/>
    <w:rsid w:val="00A819AC"/>
    <w:rsid w:val="00A81E19"/>
    <w:rsid w:val="00A82215"/>
    <w:rsid w:val="00A83EB9"/>
    <w:rsid w:val="00A852B4"/>
    <w:rsid w:val="00A856DE"/>
    <w:rsid w:val="00A86F02"/>
    <w:rsid w:val="00A90600"/>
    <w:rsid w:val="00A96A6B"/>
    <w:rsid w:val="00A9723B"/>
    <w:rsid w:val="00AA3F57"/>
    <w:rsid w:val="00AA68A3"/>
    <w:rsid w:val="00AA77E1"/>
    <w:rsid w:val="00AB579D"/>
    <w:rsid w:val="00AB582F"/>
    <w:rsid w:val="00AB7399"/>
    <w:rsid w:val="00AB7703"/>
    <w:rsid w:val="00AB795F"/>
    <w:rsid w:val="00AC1E1A"/>
    <w:rsid w:val="00AC1F91"/>
    <w:rsid w:val="00AC6312"/>
    <w:rsid w:val="00AD1A1E"/>
    <w:rsid w:val="00AD1E77"/>
    <w:rsid w:val="00AD369D"/>
    <w:rsid w:val="00AD5C9F"/>
    <w:rsid w:val="00AD6D80"/>
    <w:rsid w:val="00AD7692"/>
    <w:rsid w:val="00AE0884"/>
    <w:rsid w:val="00AE0E0C"/>
    <w:rsid w:val="00AE199A"/>
    <w:rsid w:val="00AE25C4"/>
    <w:rsid w:val="00AE5469"/>
    <w:rsid w:val="00AE7855"/>
    <w:rsid w:val="00AF31F7"/>
    <w:rsid w:val="00AF3A31"/>
    <w:rsid w:val="00AF4216"/>
    <w:rsid w:val="00B008A4"/>
    <w:rsid w:val="00B0106D"/>
    <w:rsid w:val="00B01083"/>
    <w:rsid w:val="00B031A8"/>
    <w:rsid w:val="00B03B03"/>
    <w:rsid w:val="00B1160D"/>
    <w:rsid w:val="00B138FF"/>
    <w:rsid w:val="00B139FB"/>
    <w:rsid w:val="00B17904"/>
    <w:rsid w:val="00B23D14"/>
    <w:rsid w:val="00B25699"/>
    <w:rsid w:val="00B37405"/>
    <w:rsid w:val="00B40B3C"/>
    <w:rsid w:val="00B41752"/>
    <w:rsid w:val="00B444E6"/>
    <w:rsid w:val="00B52011"/>
    <w:rsid w:val="00B53EFF"/>
    <w:rsid w:val="00B54AFA"/>
    <w:rsid w:val="00B55ED6"/>
    <w:rsid w:val="00B62332"/>
    <w:rsid w:val="00B63ED6"/>
    <w:rsid w:val="00B64BBF"/>
    <w:rsid w:val="00B671A4"/>
    <w:rsid w:val="00B804E8"/>
    <w:rsid w:val="00B81C66"/>
    <w:rsid w:val="00B81E5F"/>
    <w:rsid w:val="00B96555"/>
    <w:rsid w:val="00B9785F"/>
    <w:rsid w:val="00BA12B1"/>
    <w:rsid w:val="00BA31D1"/>
    <w:rsid w:val="00BB03F5"/>
    <w:rsid w:val="00BB2DC2"/>
    <w:rsid w:val="00BB3004"/>
    <w:rsid w:val="00BC0996"/>
    <w:rsid w:val="00BC206C"/>
    <w:rsid w:val="00BC2AB0"/>
    <w:rsid w:val="00BC2BED"/>
    <w:rsid w:val="00BC3EF4"/>
    <w:rsid w:val="00BC431A"/>
    <w:rsid w:val="00BC4907"/>
    <w:rsid w:val="00BC4D6D"/>
    <w:rsid w:val="00BC521E"/>
    <w:rsid w:val="00BC6359"/>
    <w:rsid w:val="00BC7744"/>
    <w:rsid w:val="00BD1396"/>
    <w:rsid w:val="00BE0BCC"/>
    <w:rsid w:val="00BE308F"/>
    <w:rsid w:val="00BE3983"/>
    <w:rsid w:val="00BE45C3"/>
    <w:rsid w:val="00BF05F5"/>
    <w:rsid w:val="00BF5989"/>
    <w:rsid w:val="00BF5AFA"/>
    <w:rsid w:val="00BF75C2"/>
    <w:rsid w:val="00C006B2"/>
    <w:rsid w:val="00C01518"/>
    <w:rsid w:val="00C01A35"/>
    <w:rsid w:val="00C03772"/>
    <w:rsid w:val="00C03A8E"/>
    <w:rsid w:val="00C04EDA"/>
    <w:rsid w:val="00C06632"/>
    <w:rsid w:val="00C119A2"/>
    <w:rsid w:val="00C133C3"/>
    <w:rsid w:val="00C166AA"/>
    <w:rsid w:val="00C20996"/>
    <w:rsid w:val="00C26EA7"/>
    <w:rsid w:val="00C30977"/>
    <w:rsid w:val="00C46B2D"/>
    <w:rsid w:val="00C513AD"/>
    <w:rsid w:val="00C53F1A"/>
    <w:rsid w:val="00C57267"/>
    <w:rsid w:val="00C616FF"/>
    <w:rsid w:val="00C62B63"/>
    <w:rsid w:val="00C634A7"/>
    <w:rsid w:val="00C63DBF"/>
    <w:rsid w:val="00C71625"/>
    <w:rsid w:val="00C72B5B"/>
    <w:rsid w:val="00C77C20"/>
    <w:rsid w:val="00C801B5"/>
    <w:rsid w:val="00C824C4"/>
    <w:rsid w:val="00C869F3"/>
    <w:rsid w:val="00C903E7"/>
    <w:rsid w:val="00C91DD0"/>
    <w:rsid w:val="00CA37D7"/>
    <w:rsid w:val="00CA5C60"/>
    <w:rsid w:val="00CA5DC0"/>
    <w:rsid w:val="00CB0BA6"/>
    <w:rsid w:val="00CB163B"/>
    <w:rsid w:val="00CB43B5"/>
    <w:rsid w:val="00CB6AB7"/>
    <w:rsid w:val="00CB7017"/>
    <w:rsid w:val="00CC18AC"/>
    <w:rsid w:val="00CC360A"/>
    <w:rsid w:val="00CD17C2"/>
    <w:rsid w:val="00CD7012"/>
    <w:rsid w:val="00CD7D5D"/>
    <w:rsid w:val="00CE1B56"/>
    <w:rsid w:val="00CE4D1A"/>
    <w:rsid w:val="00CE651F"/>
    <w:rsid w:val="00CE65B0"/>
    <w:rsid w:val="00CF0621"/>
    <w:rsid w:val="00CF0FC4"/>
    <w:rsid w:val="00CF6932"/>
    <w:rsid w:val="00D003DC"/>
    <w:rsid w:val="00D007CC"/>
    <w:rsid w:val="00D01FE3"/>
    <w:rsid w:val="00D0381E"/>
    <w:rsid w:val="00D06CA3"/>
    <w:rsid w:val="00D07F46"/>
    <w:rsid w:val="00D10A76"/>
    <w:rsid w:val="00D113C8"/>
    <w:rsid w:val="00D13102"/>
    <w:rsid w:val="00D1327A"/>
    <w:rsid w:val="00D13648"/>
    <w:rsid w:val="00D14232"/>
    <w:rsid w:val="00D1616A"/>
    <w:rsid w:val="00D170E5"/>
    <w:rsid w:val="00D20275"/>
    <w:rsid w:val="00D2163E"/>
    <w:rsid w:val="00D23D6B"/>
    <w:rsid w:val="00D26D26"/>
    <w:rsid w:val="00D36BB3"/>
    <w:rsid w:val="00D37F2F"/>
    <w:rsid w:val="00D40756"/>
    <w:rsid w:val="00D40D41"/>
    <w:rsid w:val="00D415B9"/>
    <w:rsid w:val="00D44745"/>
    <w:rsid w:val="00D47E19"/>
    <w:rsid w:val="00D50820"/>
    <w:rsid w:val="00D50C4A"/>
    <w:rsid w:val="00D528E8"/>
    <w:rsid w:val="00D53A85"/>
    <w:rsid w:val="00D6043A"/>
    <w:rsid w:val="00D617BA"/>
    <w:rsid w:val="00D62C0A"/>
    <w:rsid w:val="00D65053"/>
    <w:rsid w:val="00D652A5"/>
    <w:rsid w:val="00D6539F"/>
    <w:rsid w:val="00D679BF"/>
    <w:rsid w:val="00D771D0"/>
    <w:rsid w:val="00D835CF"/>
    <w:rsid w:val="00D912D2"/>
    <w:rsid w:val="00D92653"/>
    <w:rsid w:val="00D95E5D"/>
    <w:rsid w:val="00DA0938"/>
    <w:rsid w:val="00DA176F"/>
    <w:rsid w:val="00DA18DF"/>
    <w:rsid w:val="00DA26FB"/>
    <w:rsid w:val="00DA28A7"/>
    <w:rsid w:val="00DA36BE"/>
    <w:rsid w:val="00DB348F"/>
    <w:rsid w:val="00DB6C3D"/>
    <w:rsid w:val="00DC2E71"/>
    <w:rsid w:val="00DC4C8C"/>
    <w:rsid w:val="00DC5ACF"/>
    <w:rsid w:val="00DC698B"/>
    <w:rsid w:val="00DD3573"/>
    <w:rsid w:val="00DD465D"/>
    <w:rsid w:val="00DD6874"/>
    <w:rsid w:val="00DD7259"/>
    <w:rsid w:val="00DD7468"/>
    <w:rsid w:val="00DE02EA"/>
    <w:rsid w:val="00DE222A"/>
    <w:rsid w:val="00DE25A2"/>
    <w:rsid w:val="00DE25E9"/>
    <w:rsid w:val="00DE3597"/>
    <w:rsid w:val="00DE444A"/>
    <w:rsid w:val="00DE71D3"/>
    <w:rsid w:val="00DE72CF"/>
    <w:rsid w:val="00DF08A0"/>
    <w:rsid w:val="00DF2764"/>
    <w:rsid w:val="00DF574C"/>
    <w:rsid w:val="00DF645B"/>
    <w:rsid w:val="00DF748D"/>
    <w:rsid w:val="00E069A7"/>
    <w:rsid w:val="00E11D8F"/>
    <w:rsid w:val="00E13BEF"/>
    <w:rsid w:val="00E15841"/>
    <w:rsid w:val="00E217CF"/>
    <w:rsid w:val="00E220E2"/>
    <w:rsid w:val="00E24FBB"/>
    <w:rsid w:val="00E2688A"/>
    <w:rsid w:val="00E26EFB"/>
    <w:rsid w:val="00E321E2"/>
    <w:rsid w:val="00E362FF"/>
    <w:rsid w:val="00E37838"/>
    <w:rsid w:val="00E44463"/>
    <w:rsid w:val="00E514F9"/>
    <w:rsid w:val="00E5458C"/>
    <w:rsid w:val="00E54F91"/>
    <w:rsid w:val="00E55528"/>
    <w:rsid w:val="00E56DA9"/>
    <w:rsid w:val="00E57E27"/>
    <w:rsid w:val="00E60302"/>
    <w:rsid w:val="00E60573"/>
    <w:rsid w:val="00E64F75"/>
    <w:rsid w:val="00E70305"/>
    <w:rsid w:val="00E70760"/>
    <w:rsid w:val="00E71F2C"/>
    <w:rsid w:val="00E81973"/>
    <w:rsid w:val="00E8728A"/>
    <w:rsid w:val="00E87C59"/>
    <w:rsid w:val="00E9253C"/>
    <w:rsid w:val="00E92C29"/>
    <w:rsid w:val="00E971AB"/>
    <w:rsid w:val="00E977FD"/>
    <w:rsid w:val="00EA22CD"/>
    <w:rsid w:val="00EA2CFC"/>
    <w:rsid w:val="00EA5B03"/>
    <w:rsid w:val="00EB151F"/>
    <w:rsid w:val="00EB1907"/>
    <w:rsid w:val="00EB3CF0"/>
    <w:rsid w:val="00EB45B5"/>
    <w:rsid w:val="00EB5E57"/>
    <w:rsid w:val="00EB61DB"/>
    <w:rsid w:val="00EB687A"/>
    <w:rsid w:val="00EC6C64"/>
    <w:rsid w:val="00ED1AD0"/>
    <w:rsid w:val="00ED4AFD"/>
    <w:rsid w:val="00ED6776"/>
    <w:rsid w:val="00EE1BC7"/>
    <w:rsid w:val="00EE27F4"/>
    <w:rsid w:val="00EE2A7C"/>
    <w:rsid w:val="00EE2EA6"/>
    <w:rsid w:val="00EE4FBE"/>
    <w:rsid w:val="00EF6662"/>
    <w:rsid w:val="00EF68D7"/>
    <w:rsid w:val="00EF7C59"/>
    <w:rsid w:val="00F038A1"/>
    <w:rsid w:val="00F06E4E"/>
    <w:rsid w:val="00F13B19"/>
    <w:rsid w:val="00F14D5E"/>
    <w:rsid w:val="00F238E0"/>
    <w:rsid w:val="00F27D4A"/>
    <w:rsid w:val="00F30A49"/>
    <w:rsid w:val="00F31CCD"/>
    <w:rsid w:val="00F31FB5"/>
    <w:rsid w:val="00F367BF"/>
    <w:rsid w:val="00F406E1"/>
    <w:rsid w:val="00F42603"/>
    <w:rsid w:val="00F42E1E"/>
    <w:rsid w:val="00F437B1"/>
    <w:rsid w:val="00F44311"/>
    <w:rsid w:val="00F46A3C"/>
    <w:rsid w:val="00F47CEE"/>
    <w:rsid w:val="00F51AC0"/>
    <w:rsid w:val="00F51E01"/>
    <w:rsid w:val="00F5236E"/>
    <w:rsid w:val="00F530EF"/>
    <w:rsid w:val="00F5649A"/>
    <w:rsid w:val="00F57E94"/>
    <w:rsid w:val="00F61423"/>
    <w:rsid w:val="00F6152A"/>
    <w:rsid w:val="00F6188F"/>
    <w:rsid w:val="00F63787"/>
    <w:rsid w:val="00F67DC5"/>
    <w:rsid w:val="00F81674"/>
    <w:rsid w:val="00F82342"/>
    <w:rsid w:val="00F83877"/>
    <w:rsid w:val="00F8503D"/>
    <w:rsid w:val="00F876A9"/>
    <w:rsid w:val="00F877DB"/>
    <w:rsid w:val="00F91AE4"/>
    <w:rsid w:val="00F91F9C"/>
    <w:rsid w:val="00F924DD"/>
    <w:rsid w:val="00F93C8B"/>
    <w:rsid w:val="00F959DD"/>
    <w:rsid w:val="00F960D5"/>
    <w:rsid w:val="00F96A29"/>
    <w:rsid w:val="00FA280A"/>
    <w:rsid w:val="00FA460F"/>
    <w:rsid w:val="00FA6B77"/>
    <w:rsid w:val="00FB0C68"/>
    <w:rsid w:val="00FB1231"/>
    <w:rsid w:val="00FB4790"/>
    <w:rsid w:val="00FB5275"/>
    <w:rsid w:val="00FB7FD3"/>
    <w:rsid w:val="00FC1C5C"/>
    <w:rsid w:val="00FC23FF"/>
    <w:rsid w:val="00FC2633"/>
    <w:rsid w:val="00FC30E0"/>
    <w:rsid w:val="00FD2566"/>
    <w:rsid w:val="00FD6BCE"/>
    <w:rsid w:val="00FD75B9"/>
    <w:rsid w:val="00FE17E2"/>
    <w:rsid w:val="00FE20D4"/>
    <w:rsid w:val="00FE66AF"/>
    <w:rsid w:val="00FE7D5C"/>
    <w:rsid w:val="00FE7D73"/>
    <w:rsid w:val="00FF5D12"/>
    <w:rsid w:val="00FF6E4B"/>
    <w:rsid w:val="00FF706D"/>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D44745"/>
    <w:rPr>
      <w:rFonts w:ascii="Arial" w:hAnsi="Arial"/>
      <w:sz w:val="24"/>
      <w:lang w:eastAsia="en-US"/>
    </w:rPr>
  </w:style>
  <w:style w:type="paragraph" w:styleId="CommentText">
    <w:name w:val="annotation text"/>
    <w:basedOn w:val="Normal"/>
    <w:link w:val="CommentTextChar"/>
    <w:unhideWhenUsed/>
    <w:rsid w:val="008B4C37"/>
    <w:rPr>
      <w:sz w:val="20"/>
    </w:rPr>
  </w:style>
  <w:style w:type="character" w:customStyle="1" w:styleId="CommentTextChar">
    <w:name w:val="Comment Text Char"/>
    <w:basedOn w:val="DefaultParagraphFont"/>
    <w:link w:val="CommentText"/>
    <w:rsid w:val="008B4C37"/>
    <w:rPr>
      <w:rFonts w:ascii="Arial" w:hAnsi="Arial"/>
      <w:lang w:eastAsia="en-US"/>
    </w:rPr>
  </w:style>
  <w:style w:type="character" w:styleId="CommentReference">
    <w:name w:val="annotation reference"/>
    <w:basedOn w:val="DefaultParagraphFont"/>
    <w:semiHidden/>
    <w:unhideWhenUsed/>
    <w:rsid w:val="008B4C37"/>
    <w:rPr>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8B4C37"/>
    <w:rPr>
      <w:rFonts w:ascii="Arial" w:hAnsi="Arial"/>
      <w:sz w:val="24"/>
      <w:lang w:eastAsia="en-US"/>
    </w:rPr>
  </w:style>
  <w:style w:type="paragraph" w:styleId="CommentSubject">
    <w:name w:val="annotation subject"/>
    <w:basedOn w:val="CommentText"/>
    <w:next w:val="CommentText"/>
    <w:link w:val="CommentSubjectChar"/>
    <w:semiHidden/>
    <w:unhideWhenUsed/>
    <w:rsid w:val="00441334"/>
    <w:rPr>
      <w:b/>
      <w:bCs/>
    </w:rPr>
  </w:style>
  <w:style w:type="character" w:customStyle="1" w:styleId="CommentSubjectChar">
    <w:name w:val="Comment Subject Char"/>
    <w:basedOn w:val="CommentTextChar"/>
    <w:link w:val="CommentSubject"/>
    <w:semiHidden/>
    <w:rsid w:val="0044133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9677970">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494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flood-and-coastal-resilience-innovation-programme" TargetMode="External"/><Relationship Id="rId18" Type="http://schemas.openxmlformats.org/officeDocument/2006/relationships/hyperlink" Target="https://eur01.safelinks.protection.outlook.com/?url=http%3A%2F%2Fwww.barnetsourcing.co.uk%2F&amp;data=05%7C01%7CMichael.Bradshaw%40harrow.gov.uk%7C0e2ee150a460417eec9008dbcf024159%7Cd2c39953a8db4c3c97f2d2dc76fb3e2c%7C0%7C0%7C638331380822598070%7CUnknown%7CTWFpbGZsb3d8eyJWIjoiMC4wLjAwMDAiLCJQIjoiV2luMzIiLCJBTiI6Ik1haWwiLCJXVCI6Mn0%3D%7C3000%7C%7C%7C&amp;sdata=rDEN6JU7ZfKsZ1EZCGmH8WvCIWIOFEAGK77FcB0N3go%3D&amp;reserved=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ondon.gov.uk/programmes-strategies/environment-and-climate-change/parks-green-spaces-and-biodiversity/green-space-funding/green-and-resilient-spaces-fund-round-two" TargetMode="External"/><Relationship Id="rId2" Type="http://schemas.openxmlformats.org/officeDocument/2006/relationships/customXml" Target="../customXml/item2.xml"/><Relationship Id="rId16" Type="http://schemas.openxmlformats.org/officeDocument/2006/relationships/hyperlink" Target="https://www.harrow.gov.uk/environment-parks/silk-stream-flood-resilience-innovation-ssfri-proje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arnet.gov.uk/environmental-problems/flood-and-water-management/flood-and-water-management-projects/action-sil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ichael.bradshaw@harrow.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ndon.gov.uk/programmes-strategies/environment-and-climate-change/parks-green-spaces-and-biodiversity/green-space-funding/green-and-resilient-spaces-fund-round-tw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2587</Words>
  <Characters>15887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13</cp:revision>
  <cp:lastPrinted>2014-10-31T16:34:00Z</cp:lastPrinted>
  <dcterms:created xsi:type="dcterms:W3CDTF">2023-11-29T17:23:00Z</dcterms:created>
  <dcterms:modified xsi:type="dcterms:W3CDTF">2023-12-11T16:11:00Z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